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1157"/>
        <w:gridCol w:w="1107"/>
        <w:gridCol w:w="1051"/>
        <w:gridCol w:w="1010"/>
        <w:gridCol w:w="964"/>
        <w:gridCol w:w="924"/>
        <w:gridCol w:w="889"/>
        <w:gridCol w:w="1128"/>
        <w:gridCol w:w="1125"/>
      </w:tblGrid>
      <w:tr w:rsidR="00176170" w:rsidRPr="00176170" w:rsidTr="00176170">
        <w:trPr>
          <w:gridAfter w:val="8"/>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sz w:val="24"/>
                <w:szCs w:val="24"/>
              </w:rPr>
            </w:pPr>
          </w:p>
        </w:tc>
      </w:tr>
      <w:tr w:rsidR="00176170" w:rsidRPr="00176170" w:rsidTr="00176170">
        <w:trPr>
          <w:trHeight w:val="37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 xml:space="preserve">ДОГОВОР № 37307/2021Н </w:t>
            </w:r>
          </w:p>
        </w:tc>
      </w:tr>
      <w:tr w:rsidR="00176170" w:rsidRPr="00176170" w:rsidTr="00176170">
        <w:trPr>
          <w:trHeight w:val="375"/>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СОПРОВОЖДЕНИЯ ЭКЗЕМПЛЯРОВ СИСТЕМ КОНСУЛЬТАНТПЛЮС</w:t>
            </w:r>
          </w:p>
        </w:tc>
      </w:tr>
      <w:tr w:rsidR="00176170" w:rsidRPr="00176170" w:rsidTr="00176170">
        <w:trPr>
          <w:trHeight w:val="315"/>
        </w:trPr>
        <w:tc>
          <w:tcPr>
            <w:tcW w:w="0" w:type="auto"/>
            <w:gridSpan w:val="7"/>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г. Екатеринбург</w:t>
            </w:r>
          </w:p>
        </w:tc>
        <w:tc>
          <w:tcPr>
            <w:tcW w:w="0" w:type="auto"/>
            <w:gridSpan w:val="2"/>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r w:rsidRPr="00176170">
              <w:rPr>
                <w:rFonts w:ascii="Times New Roman" w:eastAsia="Times New Roman" w:hAnsi="Times New Roman" w:cs="Times New Roman"/>
                <w:b/>
                <w:bCs/>
              </w:rPr>
              <w:t>_____________</w:t>
            </w:r>
          </w:p>
        </w:tc>
      </w:tr>
      <w:tr w:rsidR="00176170" w:rsidRPr="00176170" w:rsidTr="00176170">
        <w:trPr>
          <w:trHeight w:val="315"/>
        </w:trPr>
        <w:tc>
          <w:tcPr>
            <w:tcW w:w="0" w:type="auto"/>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1560"/>
        </w:trPr>
        <w:tc>
          <w:tcPr>
            <w:tcW w:w="0" w:type="auto"/>
            <w:gridSpan w:val="9"/>
            <w:vAlign w:val="center"/>
            <w:hideMark/>
          </w:tcPr>
          <w:p w:rsid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ООО "Информационные электронные технологии" - официальный Представитель Сети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именуемое в дальнейшем Исполнитель, в лице директора </w:t>
            </w:r>
            <w:proofErr w:type="spellStart"/>
            <w:r w:rsidRPr="00176170">
              <w:rPr>
                <w:rFonts w:ascii="Times New Roman" w:eastAsia="Times New Roman" w:hAnsi="Times New Roman" w:cs="Times New Roman"/>
              </w:rPr>
              <w:t>Тумакова</w:t>
            </w:r>
            <w:proofErr w:type="spellEnd"/>
            <w:r w:rsidRPr="00176170">
              <w:rPr>
                <w:rFonts w:ascii="Times New Roman" w:eastAsia="Times New Roman" w:hAnsi="Times New Roman" w:cs="Times New Roman"/>
              </w:rPr>
              <w:t xml:space="preserve"> Евгения Игоревича, действующего на основании Устава, с одной стороны, и Муниципальное унитарное предприятие Березовское водо-канализационное хозяйство "Водоканал", именуем______ в дальнейшем Заказчик, в лице ___________________________________________________________, </w:t>
            </w:r>
            <w:proofErr w:type="spellStart"/>
            <w:r w:rsidRPr="00176170">
              <w:rPr>
                <w:rFonts w:ascii="Times New Roman" w:eastAsia="Times New Roman" w:hAnsi="Times New Roman" w:cs="Times New Roman"/>
              </w:rPr>
              <w:t>действующ</w:t>
            </w:r>
            <w:proofErr w:type="spellEnd"/>
            <w:r w:rsidRPr="00176170">
              <w:rPr>
                <w:rFonts w:ascii="Times New Roman" w:eastAsia="Times New Roman" w:hAnsi="Times New Roman" w:cs="Times New Roman"/>
              </w:rPr>
              <w:t>_____ на основании __________________________________________, с другой стороны, вместе именуемые Стороны, заключили настоящий Договор (далее - Договор) о нижеследующем.</w:t>
            </w:r>
          </w:p>
          <w:p w:rsidR="00176170" w:rsidRPr="00176170" w:rsidRDefault="00176170" w:rsidP="00176170">
            <w:pPr>
              <w:spacing w:after="0" w:line="240" w:lineRule="auto"/>
              <w:jc w:val="both"/>
              <w:rPr>
                <w:rFonts w:ascii="Times New Roman" w:eastAsia="Times New Roman" w:hAnsi="Times New Roman" w:cs="Times New Roman"/>
              </w:rPr>
            </w:pPr>
          </w:p>
        </w:tc>
      </w:tr>
      <w:tr w:rsidR="00176170" w:rsidRPr="00176170" w:rsidTr="00176170">
        <w:trPr>
          <w:trHeight w:val="315"/>
        </w:trPr>
        <w:tc>
          <w:tcPr>
            <w:tcW w:w="0" w:type="auto"/>
            <w:gridSpan w:val="9"/>
            <w:vAlign w:val="center"/>
            <w:hideMark/>
          </w:tcPr>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ОСНОВНЫЕ ПОНЯТИЯ</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1.1. Справочная Правовая Система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(далее - Система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 </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1.2. Экземпляр Системы - копия Системы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1.3. Учетная запись - логин и пароль.</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1.7. КЦ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tc>
      </w:tr>
      <w:tr w:rsidR="00176170" w:rsidRPr="00176170" w:rsidTr="00176170">
        <w:trPr>
          <w:trHeight w:val="1050"/>
        </w:trPr>
        <w:tc>
          <w:tcPr>
            <w:tcW w:w="0" w:type="auto"/>
            <w:gridSpan w:val="9"/>
            <w:vAlign w:val="center"/>
            <w:hideMark/>
          </w:tcPr>
          <w:p w:rsid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(от правомерного приобретателя экземпляра Системы).</w:t>
            </w:r>
          </w:p>
          <w:p w:rsidR="00176170" w:rsidRPr="00176170" w:rsidRDefault="00176170" w:rsidP="00176170">
            <w:pPr>
              <w:spacing w:after="0" w:line="240" w:lineRule="auto"/>
              <w:jc w:val="both"/>
              <w:rPr>
                <w:rFonts w:ascii="Times New Roman" w:eastAsia="Times New Roman" w:hAnsi="Times New Roman" w:cs="Times New Roman"/>
              </w:rPr>
            </w:pPr>
          </w:p>
        </w:tc>
      </w:tr>
      <w:tr w:rsidR="00176170" w:rsidRPr="00176170" w:rsidTr="00176170">
        <w:trPr>
          <w:trHeight w:val="315"/>
        </w:trPr>
        <w:tc>
          <w:tcPr>
            <w:tcW w:w="0" w:type="auto"/>
            <w:gridSpan w:val="9"/>
            <w:vAlign w:val="bottom"/>
            <w:hideMark/>
          </w:tcPr>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ПРЕДМЕТ ДОГОВОРА</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2.1. По настоящему Договору Стороны принимают на себя исполнение следующих обязательств:</w:t>
            </w:r>
          </w:p>
        </w:tc>
      </w:tr>
      <w:tr w:rsidR="00176170" w:rsidRPr="00176170" w:rsidTr="00176170">
        <w:trPr>
          <w:trHeight w:val="138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2.1.1.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 к настоящему Договору (Приложение к Договору).</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2.1.2. Исполнитель обязуется оказывать Заказчику иные платные услуги, предусмотренные Спецификациями (Приложение к Договору).</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Default="00176170" w:rsidP="00176170">
            <w:pPr>
              <w:spacing w:after="0" w:line="240" w:lineRule="auto"/>
              <w:jc w:val="center"/>
              <w:rPr>
                <w:rFonts w:ascii="Times New Roman" w:eastAsia="Times New Roman" w:hAnsi="Times New Roman" w:cs="Times New Roman"/>
                <w:b/>
                <w:bCs/>
              </w:rPr>
            </w:pPr>
          </w:p>
          <w:p w:rsidR="00176170" w:rsidRDefault="00176170" w:rsidP="00176170">
            <w:pPr>
              <w:spacing w:after="0" w:line="240" w:lineRule="auto"/>
              <w:jc w:val="center"/>
              <w:rPr>
                <w:rFonts w:ascii="Times New Roman" w:eastAsia="Times New Roman" w:hAnsi="Times New Roman" w:cs="Times New Roman"/>
                <w:b/>
                <w:bCs/>
              </w:rPr>
            </w:pPr>
          </w:p>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lastRenderedPageBreak/>
              <w:t>ИСПОЛЬЗОВАНИЕ ЗАКАЗЧИКОМ ПЕРЕДАВАЕМОЙ ИНФОРМАЦИИ</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lastRenderedPageBreak/>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tc>
      </w:tr>
      <w:tr w:rsidR="00176170" w:rsidRPr="00176170" w:rsidTr="00176170">
        <w:trPr>
          <w:trHeight w:val="130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tc>
      </w:tr>
      <w:tr w:rsidR="00176170" w:rsidRPr="00176170" w:rsidTr="00176170">
        <w:trPr>
          <w:trHeight w:val="130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ПОРЯДОК ИСПОЛЬЗОВАНИЯ ЭКЗЕМПЛЯРА СИСТЕМЫ</w:t>
            </w:r>
          </w:p>
          <w:p w:rsidR="00176170" w:rsidRPr="00176170" w:rsidRDefault="00176170" w:rsidP="00176170">
            <w:pPr>
              <w:spacing w:after="0" w:line="240" w:lineRule="auto"/>
              <w:ind w:left="360"/>
              <w:rPr>
                <w:rFonts w:ascii="Times New Roman" w:eastAsia="Times New Roman" w:hAnsi="Times New Roman" w:cs="Times New Roman"/>
                <w:b/>
                <w:bCs/>
              </w:rPr>
            </w:pP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4.1. Порядок использования экземпляра Системы определяется Спецификацией (Приложение к Договору).</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4.2. Если Спецификацией (Приложение к Договору)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tc>
      </w:tr>
      <w:tr w:rsidR="00176170" w:rsidRPr="00176170" w:rsidTr="00176170">
        <w:trPr>
          <w:trHeight w:val="6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4.3. Заказчик не вправе предоставлять возможность использования Системы(м) лицам и/или способами, не предусмотренными в п. 4.2 настоящего Договора.</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4.4. Заказчик вправе в любое время сменить пароль учетной записи.</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4.5. Заказчик обязан сменить пароль учетной записи в следующих случаях:</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4.5.1. При замене Уникального пользователя - в момент такой замены;</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4.5.3. В случае действительного или потенциального нарушения конфиденциальности пароля - незамедлительно при получении соответствующей информации.</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4.6. Заказчик не вправе передавать экземпляр Системы третьему лицу, если иное не предусмотрено Спецификацией (Приложение к Договору).</w:t>
            </w:r>
          </w:p>
        </w:tc>
      </w:tr>
      <w:tr w:rsidR="00176170" w:rsidRPr="00176170" w:rsidTr="00176170">
        <w:trPr>
          <w:trHeight w:val="8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4.7. Исполнитель начинает оказывать информационные услуги с использованием экземпляра Системы (услуги по адаптации и сопровождению экземпляров Систем) после предоставления Заказчиком оригинала Регистрационной карты (листа) с номером, соответствующим номеру экземпляра Системы.</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ПОРЯДОК ОКАЗАНИЯ ИНФОРМАЦИОННЫХ УСЛУГ</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 Оказание информационных услуг с использованием экземпляров Систем (услуг по адаптации и сопровождению экземпляров Систем) предусматривает:</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адаптацию (установку, тестирование, регистрацию, формирование в комплекты, выполнение других настроек) экземпляров Систем;</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сопровождение экземпляров Систем, в </w:t>
            </w:r>
            <w:proofErr w:type="spellStart"/>
            <w:r w:rsidRPr="00176170">
              <w:rPr>
                <w:rFonts w:ascii="Times New Roman" w:eastAsia="Times New Roman" w:hAnsi="Times New Roman" w:cs="Times New Roman"/>
              </w:rPr>
              <w:t>т.ч</w:t>
            </w:r>
            <w:proofErr w:type="spellEnd"/>
            <w:r w:rsidRPr="00176170">
              <w:rPr>
                <w:rFonts w:ascii="Times New Roman" w:eastAsia="Times New Roman" w:hAnsi="Times New Roman" w:cs="Times New Roman"/>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lastRenderedPageBreak/>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консультирование по работе с Системами, в </w:t>
            </w:r>
            <w:proofErr w:type="spellStart"/>
            <w:r w:rsidRPr="00176170">
              <w:rPr>
                <w:rFonts w:ascii="Times New Roman" w:eastAsia="Times New Roman" w:hAnsi="Times New Roman" w:cs="Times New Roman"/>
              </w:rPr>
              <w:t>т.ч</w:t>
            </w:r>
            <w:proofErr w:type="spellEnd"/>
            <w:r w:rsidRPr="00176170">
              <w:rPr>
                <w:rFonts w:ascii="Times New Roman" w:eastAsia="Times New Roman" w:hAnsi="Times New Roman" w:cs="Times New Roman"/>
              </w:rPr>
              <w:t xml:space="preserve">. обучение Заказчика работе с Системами по методикам Сети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с возможностью получения специального сертификата об обучении;</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предоставление возможности получения Заказчиком консультаций по работе Систем по телефону и в офисе Исполнителя;</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предоставление другой информации и материалов;</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предоставление иных услуг по адаптации и сопровождению экземпляров Систем.</w:t>
            </w: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5.2. Оказание Заказчику текущих информационных услуг с использованием экземпляров Систем осуществляется без выбора документов.</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СТОИМОСТЬ УСЛУГ. ПОРЯДОК РАСЧЕТОВ</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6.1. Стоимость оказания информационных услуг, в том числе услуг по адаптации и сопровождению с использованием экземпляра(</w:t>
            </w:r>
            <w:proofErr w:type="spellStart"/>
            <w:r w:rsidRPr="00176170">
              <w:rPr>
                <w:rFonts w:ascii="Times New Roman" w:eastAsia="Times New Roman" w:hAnsi="Times New Roman" w:cs="Times New Roman"/>
              </w:rPr>
              <w:t>ов</w:t>
            </w:r>
            <w:proofErr w:type="spellEnd"/>
            <w:r w:rsidRPr="00176170">
              <w:rPr>
                <w:rFonts w:ascii="Times New Roman" w:eastAsia="Times New Roman" w:hAnsi="Times New Roman" w:cs="Times New Roman"/>
              </w:rPr>
              <w:t>) Системы(м) перечисленных в Спецификации (Приложение к Договору), за период с 1 Января 2021 г. по 31 Декабря 2021 г. составляет 258000,00 руб. (Двести пятьдесят восемь тысяч рублей 00 копеек), НДС не предусмотрен.</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Сумма ежемесячного платежа на период с 1 Января 2021 г. по 31 Декабря 2021 г. составляет 21500,00 руб. (Двадцать одна тысяча пятьсот рублей 00 копеек), НДС не предусмотрен. </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6.2. Заказчик оплачивает стоимость оказания информационных услуг, в том числе услуг по адаптации и сопровождению с использованием экземпляра(</w:t>
            </w:r>
            <w:proofErr w:type="spellStart"/>
            <w:r w:rsidRPr="00176170">
              <w:rPr>
                <w:rFonts w:ascii="Times New Roman" w:eastAsia="Times New Roman" w:hAnsi="Times New Roman" w:cs="Times New Roman"/>
              </w:rPr>
              <w:t>ов</w:t>
            </w:r>
            <w:proofErr w:type="spellEnd"/>
            <w:r w:rsidRPr="00176170">
              <w:rPr>
                <w:rFonts w:ascii="Times New Roman" w:eastAsia="Times New Roman" w:hAnsi="Times New Roman" w:cs="Times New Roman"/>
              </w:rPr>
              <w:t>) Системы(м) в течении 30 дней после предоставления Исполнителем Акта выполненных работ и Счета-фактуры (при наличии НДС) за расчетный месяц.</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Под датой оплаты понимается дата поступления денежных средств на расчетный счет Исполнителя или дата внесения денежных средств в кассу Исполнителя.</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6.3. Основанием для расчетов являются Акт выполненных работ и Счет-фактура (при наличии НДС), которые Исполнитель предоставляет Заказчику. В Акте указывается стоимость информационных услуг с использованием экземпляров Системы(м), в том числе услуг по адаптации и сопровождения Экземпляра(</w:t>
            </w:r>
            <w:proofErr w:type="spellStart"/>
            <w:r w:rsidRPr="00176170">
              <w:rPr>
                <w:rFonts w:ascii="Times New Roman" w:eastAsia="Times New Roman" w:hAnsi="Times New Roman" w:cs="Times New Roman"/>
              </w:rPr>
              <w:t>ов</w:t>
            </w:r>
            <w:proofErr w:type="spellEnd"/>
            <w:r w:rsidRPr="00176170">
              <w:rPr>
                <w:rFonts w:ascii="Times New Roman" w:eastAsia="Times New Roman" w:hAnsi="Times New Roman" w:cs="Times New Roman"/>
              </w:rPr>
              <w:t>) за месяц, согласно п.6.1. настоящего Договора.</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6.4.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w:t>
            </w:r>
          </w:p>
        </w:tc>
      </w:tr>
      <w:tr w:rsidR="00176170" w:rsidRPr="00176170" w:rsidTr="00176170">
        <w:trPr>
          <w:trHeight w:val="1815"/>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6.5.В случае полной или частичной неуплаты стоимости оказанных услуг в срок, указанный во втором абзаце п. 6.2. настоящего Договора, Заказчик обязан выплатить Исполнителю пени в размере 0.5% от неоплаченной стоимости оказанных услуг за каждый день просрочки, а также, проценты за пользование денежными средствами в соответс</w:t>
            </w:r>
            <w:r w:rsidR="00A4266D">
              <w:rPr>
                <w:rFonts w:ascii="Times New Roman" w:eastAsia="Times New Roman" w:hAnsi="Times New Roman" w:cs="Times New Roman"/>
              </w:rPr>
              <w:t>т</w:t>
            </w:r>
            <w:r w:rsidRPr="00176170">
              <w:rPr>
                <w:rFonts w:ascii="Times New Roman" w:eastAsia="Times New Roman" w:hAnsi="Times New Roman" w:cs="Times New Roman"/>
              </w:rPr>
              <w:t xml:space="preserve">вии со ст. 317.1 Гражданского кодекса РФ, если Исполнитель потребует этого. </w:t>
            </w:r>
            <w:r w:rsidRPr="00176170">
              <w:rPr>
                <w:rFonts w:ascii="Times New Roman" w:eastAsia="Times New Roman" w:hAnsi="Times New Roman" w:cs="Times New Roman"/>
              </w:rPr>
              <w:br/>
              <w:t>В случае полной или частичной просрочки платежа в срок, указанный в п. 6.2 настоящего Договора, на 5 (пять)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6.6.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6.7. Исполнитель вправе в одностороннем порядке изменять порядок оплаты услуг по настоящему Договору, уведомив Заказчика за 10 (десять) дней до ввода изменений.</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6.8. Принятие Заказчиком полностью или частично информационных услуг, в том числе услуг по адаптации и сопровождению с использованием экземпляров Систем, оказываемых в текущем месяце, означает согласие Заказчика со стоимостью услуг на текущий месяц, согласно п. 6.1. настоящего Договора, и влечет обязанность произвести оплату за услуги.</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lastRenderedPageBreak/>
              <w:t xml:space="preserve">СРОК ДЕЙСТВИЯ ДОГОВОРА </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lastRenderedPageBreak/>
              <w:t>7.1. Настоящий Договор вступает в силу 1 Января 2021 г. и заканчивает свое действие 31 Декабря 2021 г.</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7.2.Обязательства по настоящему Договору накладываются на Исполнителя только в течение срока действия Спецификаций. Отказ Заказчика от информационных услуг, предусмотренных Спецификациями (Приложение к Договору), не прекращает действие настоящего Договора.</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ОТВЕТСТВЕННОСТЬ СТОРОН</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309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proofErr w:type="gramStart"/>
            <w:r w:rsidRPr="00176170">
              <w:rPr>
                <w:rFonts w:ascii="Times New Roman" w:eastAsia="Times New Roman" w:hAnsi="Times New Roman" w:cs="Times New Roman"/>
              </w:rPr>
              <w:t>Претензии</w:t>
            </w:r>
            <w:proofErr w:type="gramEnd"/>
            <w:r w:rsidRPr="00176170">
              <w:rPr>
                <w:rFonts w:ascii="Times New Roman" w:eastAsia="Times New Roman" w:hAnsi="Times New Roman" w:cs="Times New Roman"/>
              </w:rPr>
              <w:t xml:space="preserve"> обоснованной Исполнитель обязан устранить недостатки в разумный срок. В случае </w:t>
            </w:r>
            <w:proofErr w:type="spellStart"/>
            <w:r w:rsidRPr="00176170">
              <w:rPr>
                <w:rFonts w:ascii="Times New Roman" w:eastAsia="Times New Roman" w:hAnsi="Times New Roman" w:cs="Times New Roman"/>
              </w:rPr>
              <w:t>неустранения</w:t>
            </w:r>
            <w:proofErr w:type="spellEnd"/>
            <w:r w:rsidRPr="00176170">
              <w:rPr>
                <w:rFonts w:ascii="Times New Roman" w:eastAsia="Times New Roman" w:hAnsi="Times New Roman" w:cs="Times New Roman"/>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8.2. Исполнитель не несет ответственности за качество отключенного от сопровождения экземпляра Системы.</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8.3. При нарушении Заказчиком условий оплаты Исполнитель имеет право прекратить исполнение любых обязательств перед Заказчиком, в </w:t>
            </w:r>
            <w:proofErr w:type="spellStart"/>
            <w:r w:rsidRPr="00176170">
              <w:rPr>
                <w:rFonts w:ascii="Times New Roman" w:eastAsia="Times New Roman" w:hAnsi="Times New Roman" w:cs="Times New Roman"/>
              </w:rPr>
              <w:t>т.ч</w:t>
            </w:r>
            <w:proofErr w:type="spellEnd"/>
            <w:r w:rsidRPr="00176170">
              <w:rPr>
                <w:rFonts w:ascii="Times New Roman" w:eastAsia="Times New Roman" w:hAnsi="Times New Roman" w:cs="Times New Roman"/>
              </w:rPr>
              <w:t>. блокировать доступ Заказчика к любым сервисам, предварительно уведомив об этом Заказчика за 5 (пять) дней.</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8.4. Исполнитель имеет право отказаться от исполнения настоящего Договора в одностороннем порядке в случаях:</w:t>
            </w:r>
          </w:p>
        </w:tc>
      </w:tr>
      <w:tr w:rsidR="00176170" w:rsidRPr="00176170" w:rsidTr="00176170">
        <w:trPr>
          <w:trHeight w:val="130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8.4.1. Нарушения Заказчиком условий, которые согласно Спецификациям (Приложение к Договору) позволяют Исполнителю отказаться от Договора, а также </w:t>
            </w:r>
            <w:proofErr w:type="spellStart"/>
            <w:r w:rsidRPr="00176170">
              <w:rPr>
                <w:rFonts w:ascii="Times New Roman" w:eastAsia="Times New Roman" w:hAnsi="Times New Roman" w:cs="Times New Roman"/>
              </w:rPr>
              <w:t>п.п</w:t>
            </w:r>
            <w:proofErr w:type="spellEnd"/>
            <w:r w:rsidRPr="00176170">
              <w:rPr>
                <w:rFonts w:ascii="Times New Roman" w:eastAsia="Times New Roman" w:hAnsi="Times New Roman" w:cs="Times New Roman"/>
              </w:rPr>
              <w:t>. 3.1 - 3.3, 4.2, 4.3, 4.4 - 4.6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8.4.2. Внесения Заказчиком изменений в средства программной защиты Системы, приводящих к ее декомпилированию или модификации;</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8.4.3. Изготовления, воспроизведения, распространения (любым способом) Заказчиком контрафактных экземпляров Систем.</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tc>
      </w:tr>
      <w:tr w:rsidR="00176170" w:rsidRPr="00176170" w:rsidTr="00176170">
        <w:trPr>
          <w:trHeight w:val="8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8.6.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tc>
      </w:tr>
      <w:tr w:rsidR="00176170" w:rsidRPr="00176170" w:rsidTr="00176170">
        <w:trPr>
          <w:trHeight w:val="8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8.7. Все споры и разногласия, возникшие в связи с заключением и исполнением настоящего Договора, Стороны будут стремиться разрешать путем переговоров, в случае </w:t>
            </w:r>
            <w:proofErr w:type="spellStart"/>
            <w:r w:rsidRPr="00176170">
              <w:rPr>
                <w:rFonts w:ascii="Times New Roman" w:eastAsia="Times New Roman" w:hAnsi="Times New Roman" w:cs="Times New Roman"/>
              </w:rPr>
              <w:t>недостижения</w:t>
            </w:r>
            <w:proofErr w:type="spellEnd"/>
            <w:r w:rsidRPr="00176170">
              <w:rPr>
                <w:rFonts w:ascii="Times New Roman" w:eastAsia="Times New Roman" w:hAnsi="Times New Roman" w:cs="Times New Roman"/>
              </w:rPr>
              <w:t xml:space="preserve"> согласия спор подлежит рассмотрению в Арбитражном суде Свердловской области.</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ОСОБЫЕ УСЛОВИЯ</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lastRenderedPageBreak/>
              <w:t>9.1. Заказчик имеет право отказаться от услуг, оказываемых Исполнителем согласно п. 2.1.1 настоящего Договора, до истечения срока действия Договора. Заказчик обязан уведомить Исполнителя о таком отказе не менее чем за 30 (тридцать) дней.</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9.3. Заказчик обязан обеспечить соблюдение Уникальными пользователями положений </w:t>
            </w:r>
            <w:proofErr w:type="spellStart"/>
            <w:r w:rsidRPr="00176170">
              <w:rPr>
                <w:rFonts w:ascii="Times New Roman" w:eastAsia="Times New Roman" w:hAnsi="Times New Roman" w:cs="Times New Roman"/>
              </w:rPr>
              <w:t>п.п</w:t>
            </w:r>
            <w:proofErr w:type="spellEnd"/>
            <w:r w:rsidRPr="00176170">
              <w:rPr>
                <w:rFonts w:ascii="Times New Roman" w:eastAsia="Times New Roman" w:hAnsi="Times New Roman" w:cs="Times New Roman"/>
              </w:rPr>
              <w:t>. 3.1 - 3.3, 4.2, 4.3, 4.4 - 4.6 настоящего Договора.</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9.5. Исполнитель вправе передать все права и обязанности по настоящему Договору другому официальному Дистрибьютору Сети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с уведомлением Заказчика за 10 (десять) рабочих дней до момента передачи.</w:t>
            </w:r>
          </w:p>
        </w:tc>
      </w:tr>
      <w:tr w:rsidR="00176170" w:rsidRPr="00176170" w:rsidTr="00176170">
        <w:trPr>
          <w:trHeight w:val="156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9.6.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tc>
      </w:tr>
      <w:tr w:rsidR="00176170" w:rsidRPr="00176170" w:rsidTr="00176170">
        <w:trPr>
          <w:trHeight w:val="3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9.8. Исполнитель может исполнять свои обязательства по настоящему Договору с привлечением третьих лиц.</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9.9.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9.12. В случае противоречий между условиями настоящего Договора и условиями Спецификаций (Приложение к Договору) применяются условия Спецификаций (Приложение к Договору).</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9.13. На перечисленные Заказчиком в адрес Исполнителя денежные средства в качестве аванса проценты за пользование денежными средствами в соответствии со ст. 317.1 Гражданского кодекса РФ не начисляются. </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9.14. Если Спецификацией к Договору в отношении экземпляров Систем не предусмотрено оказание информационных услуг, положения разделов 5, 6, а также пункта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tc>
      </w:tr>
      <w:tr w:rsidR="00176170" w:rsidRPr="00176170" w:rsidTr="00176170">
        <w:trPr>
          <w:trHeight w:val="540"/>
        </w:trPr>
        <w:tc>
          <w:tcPr>
            <w:tcW w:w="0" w:type="auto"/>
            <w:gridSpan w:val="9"/>
            <w:vAlign w:val="center"/>
            <w:hideMark/>
          </w:tcPr>
          <w:p w:rsid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9.15.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176170" w:rsidRPr="00176170" w:rsidRDefault="00176170" w:rsidP="00176170">
            <w:pPr>
              <w:spacing w:after="0" w:line="240" w:lineRule="auto"/>
              <w:jc w:val="both"/>
              <w:rPr>
                <w:rFonts w:ascii="Times New Roman" w:eastAsia="Times New Roman" w:hAnsi="Times New Roman" w:cs="Times New Roman"/>
              </w:rPr>
            </w:pPr>
          </w:p>
        </w:tc>
      </w:tr>
      <w:tr w:rsidR="00176170" w:rsidRPr="00176170" w:rsidTr="00176170">
        <w:trPr>
          <w:trHeight w:val="156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9.16. Настоящий Договор составлен в 2 (двух) экземплярах, имеющих равную юридическую силу. Договор, любая сопроводительная документация к Договору (приложения, акты и т.п.) должен содержать подлинную подпись уполномоченного лица (исполнительный орган юридического лица действует без доверенности, полномочия иных уполномоченных лиц должны быть удостоверены письменной доверенностью), а равно должен заверяться оригинальной (банковской) печатью </w:t>
            </w:r>
            <w:r w:rsidRPr="00176170">
              <w:rPr>
                <w:rFonts w:ascii="Times New Roman" w:eastAsia="Times New Roman" w:hAnsi="Times New Roman" w:cs="Times New Roman"/>
              </w:rPr>
              <w:lastRenderedPageBreak/>
              <w:t>юридического лица. Печать юридического лица не должна содержать словосочетания «для документов», «для корреспонденции», «для счетов», «для договоров» и т.д.</w:t>
            </w:r>
          </w:p>
        </w:tc>
      </w:tr>
      <w:tr w:rsidR="00176170" w:rsidRPr="00176170" w:rsidTr="00176170">
        <w:trPr>
          <w:trHeight w:val="315"/>
        </w:trPr>
        <w:tc>
          <w:tcPr>
            <w:tcW w:w="0" w:type="auto"/>
            <w:gridSpan w:val="9"/>
            <w:vAlign w:val="center"/>
            <w:hideMark/>
          </w:tcPr>
          <w:p w:rsid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pStyle w:val="a3"/>
              <w:numPr>
                <w:ilvl w:val="0"/>
                <w:numId w:val="4"/>
              </w:num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РЕКВИЗИТЫ СТОРОН</w:t>
            </w:r>
          </w:p>
          <w:p w:rsidR="00176170" w:rsidRPr="00176170" w:rsidRDefault="00176170" w:rsidP="00176170">
            <w:pPr>
              <w:pStyle w:val="a3"/>
              <w:spacing w:after="0" w:line="240" w:lineRule="auto"/>
              <w:rPr>
                <w:rFonts w:ascii="Times New Roman" w:eastAsia="Times New Roman" w:hAnsi="Times New Roman" w:cs="Times New Roman"/>
                <w:b/>
                <w:bCs/>
              </w:rPr>
            </w:pP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 xml:space="preserve">ЗАКАЗЧИК: </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 xml:space="preserve">ИСПОЛНИТЕЛЬ: </w:t>
            </w:r>
          </w:p>
        </w:tc>
      </w:tr>
      <w:tr w:rsidR="00176170" w:rsidRPr="00176170" w:rsidTr="00176170">
        <w:trPr>
          <w:trHeight w:val="570"/>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Муниципальное унитарное предприятие Березовское водо-канализационное хозяйство "Водоканал"</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ООО "Информационные электронные технологии"</w:t>
            </w:r>
          </w:p>
        </w:tc>
      </w:tr>
      <w:tr w:rsidR="00176170" w:rsidRPr="00176170" w:rsidTr="00176170">
        <w:trPr>
          <w:trHeight w:val="315"/>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ИНН 6604017216</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ИНН 6673174643</w:t>
            </w:r>
          </w:p>
        </w:tc>
      </w:tr>
      <w:tr w:rsidR="00176170" w:rsidRPr="00176170" w:rsidTr="00176170">
        <w:trPr>
          <w:trHeight w:val="315"/>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КПП 667801001</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КПП 667001001</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Адрес по ЕГРЮЛ:</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Адрес по ЕГРЮЛ:</w:t>
            </w:r>
          </w:p>
        </w:tc>
      </w:tr>
      <w:tr w:rsidR="00176170" w:rsidRPr="00176170" w:rsidTr="00176170">
        <w:trPr>
          <w:trHeight w:val="570"/>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623706, Свердловская, Березовский г, Ленина </w:t>
            </w:r>
            <w:proofErr w:type="spellStart"/>
            <w:r w:rsidRPr="00176170">
              <w:rPr>
                <w:rFonts w:ascii="Times New Roman" w:eastAsia="Times New Roman" w:hAnsi="Times New Roman" w:cs="Times New Roman"/>
              </w:rPr>
              <w:t>ул</w:t>
            </w:r>
            <w:proofErr w:type="spellEnd"/>
            <w:r w:rsidRPr="00176170">
              <w:rPr>
                <w:rFonts w:ascii="Times New Roman" w:eastAsia="Times New Roman" w:hAnsi="Times New Roman" w:cs="Times New Roman"/>
              </w:rPr>
              <w:t>, дом 52</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620062, Свердловская </w:t>
            </w:r>
            <w:proofErr w:type="spellStart"/>
            <w:r w:rsidRPr="00176170">
              <w:rPr>
                <w:rFonts w:ascii="Times New Roman" w:eastAsia="Times New Roman" w:hAnsi="Times New Roman" w:cs="Times New Roman"/>
              </w:rPr>
              <w:t>обл</w:t>
            </w:r>
            <w:proofErr w:type="spellEnd"/>
            <w:r w:rsidRPr="00176170">
              <w:rPr>
                <w:rFonts w:ascii="Times New Roman" w:eastAsia="Times New Roman" w:hAnsi="Times New Roman" w:cs="Times New Roman"/>
              </w:rPr>
              <w:t xml:space="preserve">, Екатеринбург г, Ленина </w:t>
            </w:r>
            <w:proofErr w:type="spellStart"/>
            <w:r w:rsidRPr="00176170">
              <w:rPr>
                <w:rFonts w:ascii="Times New Roman" w:eastAsia="Times New Roman" w:hAnsi="Times New Roman" w:cs="Times New Roman"/>
              </w:rPr>
              <w:t>пр-кт</w:t>
            </w:r>
            <w:proofErr w:type="spellEnd"/>
            <w:r w:rsidRPr="00176170">
              <w:rPr>
                <w:rFonts w:ascii="Times New Roman" w:eastAsia="Times New Roman" w:hAnsi="Times New Roman" w:cs="Times New Roman"/>
              </w:rPr>
              <w:t>, дом 95, оф. 57</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Почтовый адрес:</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Почтовый адрес:</w:t>
            </w:r>
          </w:p>
        </w:tc>
      </w:tr>
      <w:tr w:rsidR="00176170" w:rsidRPr="00176170" w:rsidTr="00176170">
        <w:trPr>
          <w:trHeight w:val="570"/>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623706, Свердловская, Березовский г, Ленина </w:t>
            </w:r>
            <w:proofErr w:type="spellStart"/>
            <w:r w:rsidRPr="00176170">
              <w:rPr>
                <w:rFonts w:ascii="Times New Roman" w:eastAsia="Times New Roman" w:hAnsi="Times New Roman" w:cs="Times New Roman"/>
              </w:rPr>
              <w:t>ул</w:t>
            </w:r>
            <w:proofErr w:type="spellEnd"/>
            <w:r w:rsidRPr="00176170">
              <w:rPr>
                <w:rFonts w:ascii="Times New Roman" w:eastAsia="Times New Roman" w:hAnsi="Times New Roman" w:cs="Times New Roman"/>
              </w:rPr>
              <w:t>, дом 52</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620062, Свердловская </w:t>
            </w:r>
            <w:proofErr w:type="spellStart"/>
            <w:r w:rsidRPr="00176170">
              <w:rPr>
                <w:rFonts w:ascii="Times New Roman" w:eastAsia="Times New Roman" w:hAnsi="Times New Roman" w:cs="Times New Roman"/>
              </w:rPr>
              <w:t>обл</w:t>
            </w:r>
            <w:proofErr w:type="spellEnd"/>
            <w:r w:rsidRPr="00176170">
              <w:rPr>
                <w:rFonts w:ascii="Times New Roman" w:eastAsia="Times New Roman" w:hAnsi="Times New Roman" w:cs="Times New Roman"/>
              </w:rPr>
              <w:t xml:space="preserve">, Екатеринбург г, Ленина </w:t>
            </w:r>
            <w:proofErr w:type="spellStart"/>
            <w:r w:rsidRPr="00176170">
              <w:rPr>
                <w:rFonts w:ascii="Times New Roman" w:eastAsia="Times New Roman" w:hAnsi="Times New Roman" w:cs="Times New Roman"/>
              </w:rPr>
              <w:t>пр-кт</w:t>
            </w:r>
            <w:proofErr w:type="spellEnd"/>
            <w:r w:rsidRPr="00176170">
              <w:rPr>
                <w:rFonts w:ascii="Times New Roman" w:eastAsia="Times New Roman" w:hAnsi="Times New Roman" w:cs="Times New Roman"/>
              </w:rPr>
              <w:t>, дом 95, оф. 57</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Банковские реквизиты:</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Банковские реквизиты:</w:t>
            </w:r>
          </w:p>
        </w:tc>
      </w:tr>
      <w:tr w:rsidR="00176170" w:rsidRPr="00176170" w:rsidTr="00176170">
        <w:trPr>
          <w:trHeight w:val="31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р/с 40702810416300112315</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р/с 40702810438030000209</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к/с 30101810500000000674</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к/с 30101810100000000964</w:t>
            </w:r>
          </w:p>
        </w:tc>
      </w:tr>
      <w:tr w:rsidR="00176170" w:rsidRPr="00176170" w:rsidTr="00176170">
        <w:trPr>
          <w:trHeight w:val="570"/>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в УРАЛЬСКИЙ БАНК ПАО СБЕРБАНК, Г.ЕКАТЕРИНБУРГ</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в ФИЛИАЛ "ЕКАТЕРИНБУРГСКИЙ" АО "АЛЬФА-БАНК" в Г.ЕКАТЕРИНБУРГ</w:t>
            </w:r>
          </w:p>
        </w:tc>
      </w:tr>
      <w:tr w:rsidR="00176170" w:rsidRPr="00176170" w:rsidTr="00176170">
        <w:trPr>
          <w:trHeight w:val="315"/>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БИК 046577674</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БИК 046577964</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ОГРН 1069604007923</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ОГРН 1076673025220</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ОКПО</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ОКПО 84517056</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ОКВЭД</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ОКВЭД 63.11.1</w:t>
            </w:r>
          </w:p>
        </w:tc>
      </w:tr>
      <w:tr w:rsidR="00176170" w:rsidRPr="00176170" w:rsidTr="00176170">
        <w:trPr>
          <w:trHeight w:val="315"/>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Телефон: </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Телефон: +7(950)634-11-10</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E-</w:t>
            </w:r>
            <w:proofErr w:type="spellStart"/>
            <w:r w:rsidRPr="00176170">
              <w:rPr>
                <w:rFonts w:ascii="Times New Roman" w:eastAsia="Times New Roman" w:hAnsi="Times New Roman" w:cs="Times New Roman"/>
              </w:rPr>
              <w:t>mail</w:t>
            </w:r>
            <w:proofErr w:type="spellEnd"/>
            <w:r w:rsidRPr="00176170">
              <w:rPr>
                <w:rFonts w:ascii="Times New Roman" w:eastAsia="Times New Roman" w:hAnsi="Times New Roman" w:cs="Times New Roman"/>
              </w:rPr>
              <w:t>:</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E-</w:t>
            </w:r>
            <w:proofErr w:type="spellStart"/>
            <w:r w:rsidRPr="00176170">
              <w:rPr>
                <w:rFonts w:ascii="Times New Roman" w:eastAsia="Times New Roman" w:hAnsi="Times New Roman" w:cs="Times New Roman"/>
              </w:rPr>
              <w:t>mail</w:t>
            </w:r>
            <w:proofErr w:type="spellEnd"/>
            <w:r w:rsidRPr="00176170">
              <w:rPr>
                <w:rFonts w:ascii="Times New Roman" w:eastAsia="Times New Roman" w:hAnsi="Times New Roman" w:cs="Times New Roman"/>
              </w:rPr>
              <w:t>:</w:t>
            </w:r>
          </w:p>
        </w:tc>
      </w:tr>
      <w:tr w:rsidR="00176170" w:rsidRPr="00176170" w:rsidTr="00176170">
        <w:trPr>
          <w:trHeight w:val="31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1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15"/>
        </w:trPr>
        <w:tc>
          <w:tcPr>
            <w:tcW w:w="0" w:type="auto"/>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 Алешина А.А. /</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 Тумаков Е.И. /</w:t>
            </w:r>
          </w:p>
        </w:tc>
      </w:tr>
      <w:tr w:rsidR="00176170" w:rsidRPr="00176170" w:rsidTr="00176170">
        <w:trPr>
          <w:trHeight w:val="31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r>
      <w:tr w:rsidR="00176170" w:rsidRPr="00176170" w:rsidTr="00176170">
        <w:trPr>
          <w:trHeight w:val="31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bl>
    <w:p w:rsidR="00C065B0" w:rsidRPr="00176170" w:rsidRDefault="00C065B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tbl>
      <w:tblPr>
        <w:tblW w:w="0" w:type="auto"/>
        <w:tblCellMar>
          <w:left w:w="30" w:type="dxa"/>
          <w:right w:w="0" w:type="dxa"/>
        </w:tblCellMar>
        <w:tblLook w:val="04A0" w:firstRow="1" w:lastRow="0" w:firstColumn="1" w:lastColumn="0" w:noHBand="0" w:noVBand="1"/>
      </w:tblPr>
      <w:tblGrid>
        <w:gridCol w:w="4777"/>
        <w:gridCol w:w="178"/>
        <w:gridCol w:w="178"/>
        <w:gridCol w:w="178"/>
        <w:gridCol w:w="178"/>
        <w:gridCol w:w="503"/>
        <w:gridCol w:w="484"/>
        <w:gridCol w:w="1548"/>
        <w:gridCol w:w="1331"/>
      </w:tblGrid>
      <w:tr w:rsidR="00176170" w:rsidRPr="00176170" w:rsidTr="00176170">
        <w:trPr>
          <w:gridAfter w:val="8"/>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right"/>
              <w:rPr>
                <w:rFonts w:ascii="Times New Roman" w:eastAsia="Times New Roman" w:hAnsi="Times New Roman" w:cs="Times New Roman"/>
              </w:rPr>
            </w:pPr>
            <w:r w:rsidRPr="00176170">
              <w:rPr>
                <w:rFonts w:ascii="Times New Roman" w:eastAsia="Times New Roman" w:hAnsi="Times New Roman" w:cs="Times New Roman"/>
              </w:rPr>
              <w:t>Приложение</w:t>
            </w:r>
            <w:r w:rsidRPr="00176170">
              <w:rPr>
                <w:rFonts w:ascii="Times New Roman" w:eastAsia="Times New Roman" w:hAnsi="Times New Roman" w:cs="Times New Roman"/>
              </w:rPr>
              <w:br/>
              <w:t>к Договору от _____________№ 37307/2021Н</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right"/>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СПЕЦИФИКАЦИЯ № 1</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7"/>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г. Екатеринбург</w:t>
            </w:r>
          </w:p>
        </w:tc>
        <w:tc>
          <w:tcPr>
            <w:tcW w:w="0" w:type="auto"/>
            <w:gridSpan w:val="2"/>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r w:rsidRPr="00176170">
              <w:rPr>
                <w:rFonts w:ascii="Times New Roman" w:eastAsia="Times New Roman" w:hAnsi="Times New Roman" w:cs="Times New Roman"/>
                <w:b/>
                <w:bCs/>
              </w:rPr>
              <w:t>_____________</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Комплект Систем: BVP970839</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 xml:space="preserve">Название экземпляра Системы </w:t>
            </w:r>
            <w:proofErr w:type="spellStart"/>
            <w:r w:rsidRPr="00176170">
              <w:rPr>
                <w:rFonts w:ascii="Times New Roman" w:eastAsia="Times New Roman" w:hAnsi="Times New Roman" w:cs="Times New Roman"/>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Рег.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Количество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Число ОД</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СПС </w:t>
            </w:r>
            <w:proofErr w:type="spellStart"/>
            <w:r w:rsidRPr="00176170">
              <w:rPr>
                <w:rFonts w:ascii="Times New Roman" w:eastAsia="Times New Roman" w:hAnsi="Times New Roman" w:cs="Times New Roman"/>
              </w:rPr>
              <w:t>КонсультантПлюс:Свердловская</w:t>
            </w:r>
            <w:proofErr w:type="spellEnd"/>
            <w:r w:rsidRPr="00176170">
              <w:rPr>
                <w:rFonts w:ascii="Times New Roman" w:eastAsia="Times New Roman" w:hAnsi="Times New Roman" w:cs="Times New Roman"/>
              </w:rPr>
              <w:t xml:space="preserve"> область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8961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Строительство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55539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w:t>
            </w:r>
            <w:proofErr w:type="spellStart"/>
            <w:r w:rsidRPr="00176170">
              <w:rPr>
                <w:rFonts w:ascii="Times New Roman" w:eastAsia="Times New Roman" w:hAnsi="Times New Roman" w:cs="Times New Roman"/>
              </w:rPr>
              <w:t>КонсультантБухгалтер</w:t>
            </w:r>
            <w:proofErr w:type="spellEnd"/>
            <w:r w:rsidRPr="00176170">
              <w:rPr>
                <w:rFonts w:ascii="Times New Roman" w:eastAsia="Times New Roman" w:hAnsi="Times New Roman" w:cs="Times New Roman"/>
              </w:rPr>
              <w:t>: Корреспонденция счетов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154606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54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ОП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Конструктор договоров Модуль доступа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44618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СПС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Эксперт-приложение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181209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Деловые бумаги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330773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СПС </w:t>
            </w:r>
            <w:proofErr w:type="spellStart"/>
            <w:r w:rsidRPr="00176170">
              <w:rPr>
                <w:rFonts w:ascii="Times New Roman" w:eastAsia="Times New Roman" w:hAnsi="Times New Roman" w:cs="Times New Roman"/>
              </w:rPr>
              <w:t>КонсультантБизнес</w:t>
            </w:r>
            <w:proofErr w:type="spellEnd"/>
            <w:r w:rsidRPr="00176170">
              <w:rPr>
                <w:rFonts w:ascii="Times New Roman" w:eastAsia="Times New Roman" w:hAnsi="Times New Roman" w:cs="Times New Roman"/>
              </w:rPr>
              <w:t xml:space="preserve">: Версия </w:t>
            </w:r>
            <w:proofErr w:type="spellStart"/>
            <w:r w:rsidRPr="00176170">
              <w:rPr>
                <w:rFonts w:ascii="Times New Roman" w:eastAsia="Times New Roman" w:hAnsi="Times New Roman" w:cs="Times New Roman"/>
              </w:rPr>
              <w:t>Проф</w:t>
            </w:r>
            <w:proofErr w:type="spellEnd"/>
            <w:r w:rsidRPr="00176170">
              <w:rPr>
                <w:rFonts w:ascii="Times New Roman" w:eastAsia="Times New Roman" w:hAnsi="Times New Roman" w:cs="Times New Roman"/>
              </w:rPr>
              <w:t xml:space="preserve">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970839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w:t>
            </w:r>
            <w:proofErr w:type="spellStart"/>
            <w:r w:rsidRPr="00176170">
              <w:rPr>
                <w:rFonts w:ascii="Times New Roman" w:eastAsia="Times New Roman" w:hAnsi="Times New Roman" w:cs="Times New Roman"/>
              </w:rPr>
              <w:t>КонсультантАрбитраж</w:t>
            </w:r>
            <w:proofErr w:type="spellEnd"/>
            <w:r w:rsidRPr="00176170">
              <w:rPr>
                <w:rFonts w:ascii="Times New Roman" w:eastAsia="Times New Roman" w:hAnsi="Times New Roman" w:cs="Times New Roman"/>
              </w:rPr>
              <w:t>: Все апелляционные суды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54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w:t>
            </w:r>
            <w:proofErr w:type="spellStart"/>
            <w:r w:rsidRPr="00176170">
              <w:rPr>
                <w:rFonts w:ascii="Times New Roman" w:eastAsia="Times New Roman" w:hAnsi="Times New Roman" w:cs="Times New Roman"/>
              </w:rPr>
              <w:t>КонсультантАрбитраж</w:t>
            </w:r>
            <w:proofErr w:type="spellEnd"/>
            <w:r w:rsidRPr="00176170">
              <w:rPr>
                <w:rFonts w:ascii="Times New Roman" w:eastAsia="Times New Roman" w:hAnsi="Times New Roman" w:cs="Times New Roman"/>
              </w:rPr>
              <w:t>: Арбитражные суды всех округов (с/м)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136667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w:t>
            </w:r>
          </w:p>
        </w:tc>
      </w:tr>
      <w:tr w:rsidR="00176170" w:rsidRPr="00176170" w:rsidTr="00176170">
        <w:trPr>
          <w:trHeight w:val="24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1. РЕГИСТРАЦИЯ</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2. ПОРЯДОК ИСПОЛЬЗОВАНИЯ ЭКЗЕМПЛЯРОВ СИСТЕМ</w:t>
            </w:r>
          </w:p>
        </w:tc>
      </w:tr>
      <w:tr w:rsidR="00176170" w:rsidRPr="00176170" w:rsidTr="00176170">
        <w:trPr>
          <w:trHeight w:val="130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tc>
      </w:tr>
      <w:tr w:rsidR="00176170" w:rsidRPr="00176170" w:rsidTr="00176170">
        <w:trPr>
          <w:trHeight w:val="207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2.3 Возобновление.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3. ОСОБЕННОСТИ ОКАЗАНИЯ ИНФОРМАЦИОННЫХ УСЛУГ</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3.1 Адреса, по которым оказываются информационные услуги: 623700, Свердловская </w:t>
            </w:r>
            <w:proofErr w:type="spellStart"/>
            <w:r w:rsidRPr="00176170">
              <w:rPr>
                <w:rFonts w:ascii="Times New Roman" w:eastAsia="Times New Roman" w:hAnsi="Times New Roman" w:cs="Times New Roman"/>
              </w:rPr>
              <w:t>обл</w:t>
            </w:r>
            <w:proofErr w:type="spellEnd"/>
            <w:r w:rsidRPr="00176170">
              <w:rPr>
                <w:rFonts w:ascii="Times New Roman" w:eastAsia="Times New Roman" w:hAnsi="Times New Roman" w:cs="Times New Roman"/>
              </w:rPr>
              <w:t xml:space="preserve">, Березовский г, Ленина </w:t>
            </w:r>
            <w:proofErr w:type="spellStart"/>
            <w:r w:rsidRPr="00176170">
              <w:rPr>
                <w:rFonts w:ascii="Times New Roman" w:eastAsia="Times New Roman" w:hAnsi="Times New Roman" w:cs="Times New Roman"/>
              </w:rPr>
              <w:t>ул</w:t>
            </w:r>
            <w:proofErr w:type="spellEnd"/>
            <w:r w:rsidRPr="00176170">
              <w:rPr>
                <w:rFonts w:ascii="Times New Roman" w:eastAsia="Times New Roman" w:hAnsi="Times New Roman" w:cs="Times New Roman"/>
              </w:rPr>
              <w:t>, дом 52.</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3.2 Периодичность. Заказчик имеет право не реже одного раза в неделю получать текущую информацию, в </w:t>
            </w:r>
            <w:proofErr w:type="spellStart"/>
            <w:r w:rsidRPr="00176170">
              <w:rPr>
                <w:rFonts w:ascii="Times New Roman" w:eastAsia="Times New Roman" w:hAnsi="Times New Roman" w:cs="Times New Roman"/>
              </w:rPr>
              <w:t>т.ч</w:t>
            </w:r>
            <w:proofErr w:type="spellEnd"/>
            <w:r w:rsidRPr="00176170">
              <w:rPr>
                <w:rFonts w:ascii="Times New Roman" w:eastAsia="Times New Roman" w:hAnsi="Times New Roman" w:cs="Times New Roman"/>
              </w:rPr>
              <w:t>. принимать наборы текстовой информации в принадлежащий ему экземпляр Системы в соответствии с его функциональным назначением.</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3.3 Способ доставки: передача Заказчику актуальной информации осуществляется специалистами Исполнителя в согласованное с Заказчиком время либо путем актуализации Систем в сети Интернет.</w:t>
            </w:r>
          </w:p>
        </w:tc>
      </w:tr>
      <w:tr w:rsidR="00176170" w:rsidRPr="00176170" w:rsidTr="00176170">
        <w:trPr>
          <w:trHeight w:val="283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Заказчик обязуется подписывать маршрутный лист, предъявляемый специалистом Исполнителя, удостоверяющий факт пребывания специалиста у Заказчика в оговоренное время, а равно факт оказания услуги. Обо всех изменениях, связанных с возможностью информационного обслуживания, Заказчик обязан письменно уведомить Исполнителя за один рабочий день до установленного времени информационного обслуживания. В случае невыполнения Заказчиком обязательств, указанных в настоящем пункте, Заказчик обязуется произвести оплату информационного обслуживания (услуг по сопровождению экземпляров Системы). </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4. ДЕЙСТВИЯ СПЕЦИФИКАЦИИ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4.1 Период. Спецификация вступает в силу 1 Января 2021 г. и заканчивает свое действие в случае прекращения Договора.</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4.2 Отказ от услуг. Заказчик имеет право отказаться полностью или частично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4.3 Отказ от Договора. Исполнитель имеет право отказаться от исполнения Договора в одностороннем порядке в случае нарушения Заказчиком п. 2.1 настоящей Спецификации.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4.4 Изменение. В случаях, предусмотренных Договором, Исполнитель вправе изменить параметры или название экземпляров Систем в одностороннем порядке.</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ЗАКАЗЧИК: </w:t>
            </w:r>
          </w:p>
        </w:tc>
        <w:tc>
          <w:tcPr>
            <w:tcW w:w="0" w:type="auto"/>
            <w:gridSpan w:val="5"/>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ИСПОЛНИТЕЛЬ: </w:t>
            </w:r>
          </w:p>
        </w:tc>
      </w:tr>
      <w:tr w:rsidR="00176170" w:rsidRPr="00176170" w:rsidTr="00176170">
        <w:trPr>
          <w:trHeight w:val="555"/>
        </w:trPr>
        <w:tc>
          <w:tcPr>
            <w:tcW w:w="0" w:type="auto"/>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Муниципальное унитарное предприятие Березовское водо-канализационное хозяйство "Водоканал"</w:t>
            </w:r>
          </w:p>
        </w:tc>
        <w:tc>
          <w:tcPr>
            <w:tcW w:w="0" w:type="auto"/>
            <w:gridSpan w:val="5"/>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ООО "Информационные электронные технологии"</w:t>
            </w:r>
          </w:p>
        </w:tc>
      </w:tr>
      <w:tr w:rsidR="00176170" w:rsidRPr="00176170" w:rsidTr="00176170">
        <w:trPr>
          <w:trHeight w:val="28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285"/>
        </w:trPr>
        <w:tc>
          <w:tcPr>
            <w:tcW w:w="0" w:type="auto"/>
            <w:tcBorders>
              <w:bottom w:val="nil"/>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0" w:type="auto"/>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5"/>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r>
      <w:tr w:rsidR="00176170" w:rsidRPr="00176170" w:rsidTr="00176170">
        <w:trPr>
          <w:trHeight w:val="375"/>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 / Алешина А.А. /</w:t>
            </w:r>
          </w:p>
        </w:tc>
        <w:tc>
          <w:tcPr>
            <w:tcW w:w="0" w:type="auto"/>
            <w:gridSpan w:val="5"/>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 Тумаков Е.И. /</w:t>
            </w:r>
          </w:p>
        </w:tc>
      </w:tr>
      <w:tr w:rsidR="00176170" w:rsidRPr="00176170" w:rsidTr="00176170">
        <w:trPr>
          <w:trHeight w:val="285"/>
        </w:trPr>
        <w:tc>
          <w:tcPr>
            <w:tcW w:w="0" w:type="auto"/>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28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bl>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tbl>
      <w:tblPr>
        <w:tblW w:w="0" w:type="auto"/>
        <w:tblCellMar>
          <w:left w:w="30" w:type="dxa"/>
          <w:right w:w="0" w:type="dxa"/>
        </w:tblCellMar>
        <w:tblLook w:val="04A0" w:firstRow="1" w:lastRow="0" w:firstColumn="1" w:lastColumn="0" w:noHBand="0" w:noVBand="1"/>
      </w:tblPr>
      <w:tblGrid>
        <w:gridCol w:w="4505"/>
        <w:gridCol w:w="320"/>
        <w:gridCol w:w="319"/>
        <w:gridCol w:w="317"/>
        <w:gridCol w:w="287"/>
        <w:gridCol w:w="336"/>
        <w:gridCol w:w="332"/>
        <w:gridCol w:w="1487"/>
        <w:gridCol w:w="1452"/>
      </w:tblGrid>
      <w:tr w:rsidR="00176170" w:rsidRPr="00176170" w:rsidTr="00176170">
        <w:trPr>
          <w:gridAfter w:val="8"/>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rPr>
                <w:rFonts w:ascii="Times New Roman" w:eastAsia="Times New Roman" w:hAnsi="Times New Roman" w:cs="Times New Roman"/>
              </w:rPr>
            </w:pPr>
          </w:p>
          <w:p w:rsidR="00176170" w:rsidRPr="00176170" w:rsidRDefault="00176170" w:rsidP="00176170">
            <w:pPr>
              <w:spacing w:after="0" w:line="240" w:lineRule="auto"/>
              <w:jc w:val="right"/>
              <w:rPr>
                <w:rFonts w:ascii="Times New Roman" w:eastAsia="Times New Roman" w:hAnsi="Times New Roman" w:cs="Times New Roman"/>
              </w:rPr>
            </w:pPr>
            <w:r w:rsidRPr="00176170">
              <w:rPr>
                <w:rFonts w:ascii="Times New Roman" w:eastAsia="Times New Roman" w:hAnsi="Times New Roman" w:cs="Times New Roman"/>
              </w:rPr>
              <w:t>Приложение</w:t>
            </w:r>
            <w:r w:rsidRPr="00176170">
              <w:rPr>
                <w:rFonts w:ascii="Times New Roman" w:eastAsia="Times New Roman" w:hAnsi="Times New Roman" w:cs="Times New Roman"/>
              </w:rPr>
              <w:br/>
              <w:t>к Договору от _____________№ 37307/2021Н</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right"/>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spacing w:after="0" w:line="240" w:lineRule="auto"/>
              <w:jc w:val="center"/>
              <w:rPr>
                <w:rFonts w:ascii="Times New Roman" w:eastAsia="Times New Roman" w:hAnsi="Times New Roman" w:cs="Times New Roman"/>
                <w:b/>
                <w:bCs/>
              </w:rPr>
            </w:pPr>
          </w:p>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КОНСТРУКТОР ДОГОВОРОВ</w:t>
            </w:r>
            <w:r w:rsidRPr="00176170">
              <w:rPr>
                <w:rFonts w:ascii="Times New Roman" w:eastAsia="Times New Roman" w:hAnsi="Times New Roman" w:cs="Times New Roman"/>
                <w:b/>
                <w:bCs/>
              </w:rPr>
              <w:br/>
              <w:t>СПЕЦИФИКАЦИЯ № 2</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7"/>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г. Екатеринбург</w:t>
            </w:r>
          </w:p>
        </w:tc>
        <w:tc>
          <w:tcPr>
            <w:tcW w:w="0" w:type="auto"/>
            <w:gridSpan w:val="2"/>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_____________</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1. ОПРЕДЕЛЕНИЯ</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1.1. Договор № 37307/2021Н от _____________ поставки и сопровождения экземпляров Систем </w:t>
            </w:r>
            <w:proofErr w:type="spellStart"/>
            <w:r w:rsidRPr="00176170">
              <w:rPr>
                <w:rFonts w:ascii="Times New Roman" w:eastAsia="Times New Roman" w:hAnsi="Times New Roman" w:cs="Times New Roman"/>
              </w:rPr>
              <w:t>КонсультантПлюс</w:t>
            </w:r>
            <w:proofErr w:type="spellEnd"/>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1.2. ОП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Конструктор договоров (далее также - Конструктор договоров или КД) - программа для ЭВМ, предназначенная для создания, просмотра, экспорта и сохранения проектов договоров (программное средство, информационный продукт вычислительной техники).</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1.3. Модуль доступа Конструктора договоров - программа для ЭВМ, предназначенная для организации взаимодействия ОП КД с комплектом Справочных Правовых Систем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Заказчика, сопровождаемым Исполнителем (программное средство, информационный продукт вычислительной техники).</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1.4. Экземпляр Модуля доступа Конструктора договоров - копия Модуля доступа КД на материальном носителе.</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1.5. Порядок доступа к Конструктору договоров (далее - Порядок доступа к КД) - совокупность технических параметров, разрешенных способов и условий доступа к КД.</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2. РЕГИСТРАЦИЯ</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2.1. Порядок регистрации. Порядок регистрации экземпляра Модуля доступа КД аналогичен порядку регистрации экземпляров Систем, в комплект с которыми он установлен.</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3. ПОРЯДОК ДОСТУПА К КД И ИСПОЛЬЗОВАНИЯ ЭКЗЕМПЛЯРОВ МОДУЛЯ ДОСТУПА КД</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3.1. Подключение доступа. При соблюдении требований настоящего раздела возможность доступа к Конструктору договоров предоставляется не позднее трех рабочих дней после регистрации Исполнителем экземпляра Модуля доступа КД.</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3.2. Режим. Заказчик вправе использовать экземпляр Модуля доступа КД в порядке, определенном Договором для использования экземпляров Систем, с техническими параметрами, определенными настоящей Спецификацией.</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3.3. Технические параметры Модуля доступа КД:</w:t>
            </w:r>
          </w:p>
        </w:tc>
      </w:tr>
      <w:tr w:rsidR="00176170" w:rsidRPr="00176170" w:rsidTr="00176170">
        <w:trPr>
          <w:trHeight w:val="18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Для доступа к ОП КД экземпляр Модуля доступа КД должен быть установлен в комплект Справочных Правовых Систем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Заказчика, содержащий любую сопровождаемую основную Систему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Перечень основных Систем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приводится в Прейскуранте Исполнителя. Информационные услуги с использованием экземпляра Модуля доступа Конструктора договоров (услуги по сопровождению экземпляра Модуля доступа КД) предоставляются Исполнителем только при условии одновременного платного сопровождения экземпляра основной Системы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В случае отключения сопровождения экземпляра основной Системы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xml:space="preserve"> доступ к ОП КД блокируется.</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4. ОСОБЕННОСТИ ОКАЗАНИЯ ИНФОРМАЦИОННЫХ УСЛУГ</w:t>
            </w:r>
          </w:p>
        </w:tc>
      </w:tr>
      <w:tr w:rsidR="00176170" w:rsidRPr="00176170" w:rsidTr="00176170">
        <w:trPr>
          <w:trHeight w:val="18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4.1. Режим обслуживания. Исполнитель обеспечивает возможность доступа к Конструктору договоров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Не являются перерывами в предоставлении услуг случаи, когда невозможность доступа к КД вызвана неполадками в работе компьютерного, телекоммуникационного оборудования или каналов связи Заказчика или третьих лиц (в том числе оборудования оператора, предоставляющего Заказчику услуги связи), их несоответствием техническим параметрам, указанным в настоящей Спецификации.</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4.2.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3"/>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ЗАКАЗЧИК: </w:t>
            </w: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ИСПОЛНИТЕЛЬ: </w:t>
            </w:r>
          </w:p>
        </w:tc>
      </w:tr>
      <w:tr w:rsidR="00176170" w:rsidRPr="00176170" w:rsidTr="00176170">
        <w:trPr>
          <w:trHeight w:val="825"/>
        </w:trPr>
        <w:tc>
          <w:tcPr>
            <w:tcW w:w="0" w:type="auto"/>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Муниципальное унитарное предприятие Березовское водо-канализационное хозяйство "Водоканал"</w:t>
            </w: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ООО "Информационные электронные технологии"</w:t>
            </w:r>
          </w:p>
        </w:tc>
      </w:tr>
      <w:tr w:rsidR="00176170" w:rsidRPr="00176170" w:rsidTr="00176170">
        <w:trPr>
          <w:trHeight w:val="28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r>
      <w:tr w:rsidR="00176170" w:rsidRPr="00176170" w:rsidTr="00176170">
        <w:trPr>
          <w:trHeight w:val="285"/>
        </w:trPr>
        <w:tc>
          <w:tcPr>
            <w:tcW w:w="0" w:type="auto"/>
            <w:gridSpan w:val="3"/>
            <w:tcBorders>
              <w:bottom w:val="nil"/>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0" w:type="auto"/>
            <w:tcBorders>
              <w:bottom w:val="nil"/>
            </w:tcBorders>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r>
      <w:tr w:rsidR="00176170" w:rsidRPr="00176170" w:rsidTr="00176170">
        <w:trPr>
          <w:trHeight w:val="420"/>
        </w:trPr>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 / Алешина А.А. /</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 Тумаков Е.И. /</w:t>
            </w:r>
          </w:p>
        </w:tc>
      </w:tr>
      <w:tr w:rsidR="00176170" w:rsidRPr="00176170" w:rsidTr="00176170">
        <w:trPr>
          <w:trHeight w:val="540"/>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28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bl>
    <w:p w:rsidR="00176170" w:rsidRPr="00176170" w:rsidRDefault="00176170" w:rsidP="00C065B0">
      <w:pPr>
        <w:spacing w:after="0"/>
        <w:rPr>
          <w:rFonts w:ascii="Times New Roman" w:hAnsi="Times New Roman" w:cs="Times New Roman"/>
        </w:rPr>
      </w:pPr>
    </w:p>
    <w:p w:rsidR="00C065B0" w:rsidRPr="00176170" w:rsidRDefault="00C065B0" w:rsidP="00C065B0">
      <w:pPr>
        <w:spacing w:after="0"/>
        <w:rPr>
          <w:rFonts w:ascii="Times New Roman" w:hAnsi="Times New Roman" w:cs="Times New Roman"/>
        </w:rPr>
      </w:pPr>
      <w:r w:rsidRPr="00176170">
        <w:rPr>
          <w:rFonts w:ascii="Times New Roman" w:hAnsi="Times New Roman" w:cs="Times New Roman"/>
        </w:rPr>
        <w:t xml:space="preserve"> </w:t>
      </w: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tbl>
      <w:tblPr>
        <w:tblW w:w="0" w:type="auto"/>
        <w:tblCellMar>
          <w:left w:w="30" w:type="dxa"/>
          <w:right w:w="0" w:type="dxa"/>
        </w:tblCellMar>
        <w:tblLook w:val="04A0" w:firstRow="1" w:lastRow="0" w:firstColumn="1" w:lastColumn="0" w:noHBand="0" w:noVBand="1"/>
      </w:tblPr>
      <w:tblGrid>
        <w:gridCol w:w="4571"/>
        <w:gridCol w:w="171"/>
        <w:gridCol w:w="170"/>
        <w:gridCol w:w="157"/>
        <w:gridCol w:w="157"/>
        <w:gridCol w:w="538"/>
        <w:gridCol w:w="521"/>
        <w:gridCol w:w="1650"/>
        <w:gridCol w:w="1420"/>
      </w:tblGrid>
      <w:tr w:rsidR="00176170" w:rsidRPr="00176170" w:rsidTr="00176170">
        <w:trPr>
          <w:gridAfter w:val="8"/>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right"/>
              <w:rPr>
                <w:rFonts w:ascii="Times New Roman" w:eastAsia="Times New Roman" w:hAnsi="Times New Roman" w:cs="Times New Roman"/>
              </w:rPr>
            </w:pPr>
            <w:r w:rsidRPr="00176170">
              <w:rPr>
                <w:rFonts w:ascii="Times New Roman" w:eastAsia="Times New Roman" w:hAnsi="Times New Roman" w:cs="Times New Roman"/>
              </w:rPr>
              <w:t>Приложение</w:t>
            </w:r>
            <w:r w:rsidRPr="00176170">
              <w:rPr>
                <w:rFonts w:ascii="Times New Roman" w:eastAsia="Times New Roman" w:hAnsi="Times New Roman" w:cs="Times New Roman"/>
              </w:rPr>
              <w:br/>
              <w:t>к Договору от _____________№ 37307/2021Н</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right"/>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57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ФЛЕШ-ВЕРСИЯ</w:t>
            </w:r>
            <w:r w:rsidRPr="00176170">
              <w:rPr>
                <w:rFonts w:ascii="Times New Roman" w:eastAsia="Times New Roman" w:hAnsi="Times New Roman" w:cs="Times New Roman"/>
                <w:b/>
                <w:bCs/>
              </w:rPr>
              <w:br/>
              <w:t>СПЕЦИФИКАЦИЯ № 3</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7"/>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г. Екатеринбург</w:t>
            </w:r>
          </w:p>
        </w:tc>
        <w:tc>
          <w:tcPr>
            <w:tcW w:w="0" w:type="auto"/>
            <w:gridSpan w:val="2"/>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r w:rsidRPr="00176170">
              <w:rPr>
                <w:rFonts w:ascii="Times New Roman" w:eastAsia="Times New Roman" w:hAnsi="Times New Roman" w:cs="Times New Roman"/>
                <w:b/>
                <w:bCs/>
              </w:rPr>
              <w:t>_____________</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Комплект Систем: SKJP970840</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 xml:space="preserve">Название экземпляра Системы </w:t>
            </w:r>
            <w:proofErr w:type="spellStart"/>
            <w:r w:rsidRPr="00176170">
              <w:rPr>
                <w:rFonts w:ascii="Times New Roman" w:eastAsia="Times New Roman" w:hAnsi="Times New Roman" w:cs="Times New Roman"/>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Рег.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Количество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Число ОД</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СПС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Эксперт-приложение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 версия)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184634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СПС Консультант Юрист смарт-комплект </w:t>
            </w:r>
            <w:proofErr w:type="spellStart"/>
            <w:r w:rsidRPr="00176170">
              <w:rPr>
                <w:rFonts w:ascii="Times New Roman" w:eastAsia="Times New Roman" w:hAnsi="Times New Roman" w:cs="Times New Roman"/>
              </w:rPr>
              <w:t>Проф</w:t>
            </w:r>
            <w:proofErr w:type="spellEnd"/>
            <w:r w:rsidRPr="00176170">
              <w:rPr>
                <w:rFonts w:ascii="Times New Roman" w:eastAsia="Times New Roman" w:hAnsi="Times New Roman" w:cs="Times New Roman"/>
              </w:rPr>
              <w:t xml:space="preserve">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 версия)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970840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w:t>
            </w:r>
            <w:proofErr w:type="spellStart"/>
            <w:r w:rsidRPr="00176170">
              <w:rPr>
                <w:rFonts w:ascii="Times New Roman" w:eastAsia="Times New Roman" w:hAnsi="Times New Roman" w:cs="Times New Roman"/>
              </w:rPr>
              <w:t>КонсультантПлюс</w:t>
            </w:r>
            <w:proofErr w:type="spellEnd"/>
            <w:r w:rsidRPr="00176170">
              <w:rPr>
                <w:rFonts w:ascii="Times New Roman" w:eastAsia="Times New Roman" w:hAnsi="Times New Roman" w:cs="Times New Roman"/>
              </w:rPr>
              <w:t>: Строительство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 версия)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55540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r>
      <w:tr w:rsidR="00176170" w:rsidRPr="00176170" w:rsidTr="00176170">
        <w:trPr>
          <w:trHeight w:val="28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roofErr w:type="spellStart"/>
            <w:r w:rsidRPr="00176170">
              <w:rPr>
                <w:rFonts w:ascii="Times New Roman" w:eastAsia="Times New Roman" w:hAnsi="Times New Roman" w:cs="Times New Roman"/>
              </w:rPr>
              <w:t>СерияИ</w:t>
            </w:r>
            <w:proofErr w:type="spellEnd"/>
            <w:r w:rsidRPr="00176170">
              <w:rPr>
                <w:rFonts w:ascii="Times New Roman" w:eastAsia="Times New Roman" w:hAnsi="Times New Roman" w:cs="Times New Roman"/>
              </w:rPr>
              <w:t xml:space="preserve"> СС Деловые бумаги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 версия)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1</w:t>
            </w:r>
          </w:p>
        </w:tc>
      </w:tr>
      <w:tr w:rsidR="00176170" w:rsidRPr="00176170" w:rsidTr="00176170">
        <w:trPr>
          <w:trHeight w:val="24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1. ОПРЕДЕЛЕНИЯ</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1.1. Экземпляр Системы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-версия) предназначен исключительно для работы на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-носителе.</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2. РЕГИСТРАЦИЯ</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2.1 Порядок регистрации. Регистрация экземпляра Системы возможна только на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-носителе, при этом запоминаются параметры конкретного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и генерируется цифровой код, после принятия которого экземпляр Системы становится работоспособным на данном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-носителе.</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2.2 Порядок перерегистрации. Перенос экземпляра Системы на другой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-носитель возможен только в случаях, указанных в </w:t>
            </w:r>
            <w:proofErr w:type="spellStart"/>
            <w:r w:rsidRPr="00176170">
              <w:rPr>
                <w:rFonts w:ascii="Times New Roman" w:eastAsia="Times New Roman" w:hAnsi="Times New Roman" w:cs="Times New Roman"/>
              </w:rPr>
              <w:t>п.п</w:t>
            </w:r>
            <w:proofErr w:type="spellEnd"/>
            <w:r w:rsidRPr="00176170">
              <w:rPr>
                <w:rFonts w:ascii="Times New Roman" w:eastAsia="Times New Roman" w:hAnsi="Times New Roman" w:cs="Times New Roman"/>
              </w:rPr>
              <w:t xml:space="preserve">. 3.6, 3.7 и 3.8 настоящей Спецификации. Перенос подразумевает удаление экземпляра Системы с прежнего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В этом случае Исполнитель обязан по требованию Заказчика перерегистрировать экземпляр Системы, т.е. выполнить его регистрацию на новом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-носителе.</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3. ПОРЯДОК ИСПОЛЬЗОВАНИЯ</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3.1 Пределы правомерного использования. Для использования экземпляра Системы Заказчик вправе использовать только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-носитель, приобретенный у Исполнителя. Заказчик не вправе использовать один экземпляр Системы на двух и более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-носителях одновременно. Заказчик не вправе использовать экземпляр Системы на двух и более компьютерах одновременно.</w:t>
            </w:r>
          </w:p>
        </w:tc>
      </w:tr>
      <w:tr w:rsidR="00176170" w:rsidRPr="00176170" w:rsidTr="00176170">
        <w:trPr>
          <w:trHeight w:val="181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3.2 Разрешенные передачи. Передача третьему лицу в собственность экземпляра Системы возможна только вместе с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3.3 Условия использования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В случае использования Заказчиком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для записи и хранения собственной информации Исполнитель не гарантирует Заказчику:</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работоспособность экземпляров Системы;</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сохранность собственной информации Заказчика при оказании Исполнителем информационных услуг с использованием экземпляров Системы.</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3.4 Гарантии. Исполнитель гарантирует работоспособность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в течение 24 месяцев с даты поставки Заказчику при отсутствии</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3.4.1 Неисправностей, возникших в результате:</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ненамеренного нанесения вреда;</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неправильного использования (при использовании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не по назначению, для тестирования или в качестве инструмента);</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стихийных бедствий;</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3.4.2 Повреждений или изменений наклеек гарантии, серийного номера или электронных номеров;</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3.4.3 Неавторизованного ремонта или модификаций либо любого физического повреждения;</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3.4.4 Признаков, свидетельствующих о вскрытии корпуса или об осуществлении каких-либо иных манипуляций;</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3.4.5. Любых посторонних наклеек, надписей и рисунков, выполненных маркерами или штрих-корректорами (корректирующей жидкостью) на корпусе.</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неправильного использования (при использовании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не по назначению, для тестирования или в качестве инструмента);</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3.6 Порядок замены. В случае неисправности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Заказчика в течение гарантийного срока, указанного в п. 3.4 настоящей Спецификации, а также при отсутствии на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-носителе дефектов, перечисленных в п. 3.4 настоящей Спецификации, Исполнитель обязуется произвести замену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в течение 5 (пяти) рабочих дней.</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3.7 Возобновление. В случае:</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утери Заказчиком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неисправности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 Заказчика по истечении гарантийного срока;</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 неисправности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Заказчика в течение гарантийного срока, но при наличии на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-носителе хотя бы одного из дефектов, перечисленных в п. 4.4 настоящей Спецификации,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-носителя.</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tc>
      </w:tr>
      <w:tr w:rsidR="00176170" w:rsidRPr="00176170" w:rsidTr="00176170">
        <w:trPr>
          <w:trHeight w:val="130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3.8 Допоставка. Исполнитель не несет ответственности за несоответствие емкости приобретенного Заказчиком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 xml:space="preserve">-носителя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w:t>
            </w:r>
            <w:proofErr w:type="spellStart"/>
            <w:r w:rsidRPr="00176170">
              <w:rPr>
                <w:rFonts w:ascii="Times New Roman" w:eastAsia="Times New Roman" w:hAnsi="Times New Roman" w:cs="Times New Roman"/>
              </w:rPr>
              <w:t>флеш</w:t>
            </w:r>
            <w:proofErr w:type="spellEnd"/>
            <w:r w:rsidRPr="00176170">
              <w:rPr>
                <w:rFonts w:ascii="Times New Roman" w:eastAsia="Times New Roman" w:hAnsi="Times New Roman" w:cs="Times New Roman"/>
              </w:rPr>
              <w:t>-носитель с емкостью, достаточной для записи допоставленного экземпляра Системы или увеличившегося объема переданной информации.</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3.9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4. ОСОБЕННОСТИ ОКАЗАНИЯ ИНФОРМАЦИОННЫХ УСЛУГ</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4.1 Адреса, по которым оказываются информационные услуги: 623701, Свердловская </w:t>
            </w:r>
            <w:proofErr w:type="spellStart"/>
            <w:r w:rsidRPr="00176170">
              <w:rPr>
                <w:rFonts w:ascii="Times New Roman" w:eastAsia="Times New Roman" w:hAnsi="Times New Roman" w:cs="Times New Roman"/>
              </w:rPr>
              <w:t>обл</w:t>
            </w:r>
            <w:proofErr w:type="spellEnd"/>
            <w:r w:rsidRPr="00176170">
              <w:rPr>
                <w:rFonts w:ascii="Times New Roman" w:eastAsia="Times New Roman" w:hAnsi="Times New Roman" w:cs="Times New Roman"/>
              </w:rPr>
              <w:t xml:space="preserve">, Березовский г, Октябрьская </w:t>
            </w:r>
            <w:proofErr w:type="spellStart"/>
            <w:r w:rsidRPr="00176170">
              <w:rPr>
                <w:rFonts w:ascii="Times New Roman" w:eastAsia="Times New Roman" w:hAnsi="Times New Roman" w:cs="Times New Roman"/>
              </w:rPr>
              <w:t>ул</w:t>
            </w:r>
            <w:proofErr w:type="spellEnd"/>
            <w:r w:rsidRPr="00176170">
              <w:rPr>
                <w:rFonts w:ascii="Times New Roman" w:eastAsia="Times New Roman" w:hAnsi="Times New Roman" w:cs="Times New Roman"/>
              </w:rPr>
              <w:t>, дом 104.</w:t>
            </w:r>
          </w:p>
        </w:tc>
      </w:tr>
      <w:tr w:rsidR="00176170" w:rsidRPr="00176170" w:rsidTr="00176170">
        <w:trPr>
          <w:trHeight w:val="79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4.2 Периодичность. Заказчик имеет право не реже одного раза в неделю получать текущую информацию, в </w:t>
            </w:r>
            <w:proofErr w:type="spellStart"/>
            <w:r w:rsidRPr="00176170">
              <w:rPr>
                <w:rFonts w:ascii="Times New Roman" w:eastAsia="Times New Roman" w:hAnsi="Times New Roman" w:cs="Times New Roman"/>
              </w:rPr>
              <w:t>т.ч</w:t>
            </w:r>
            <w:proofErr w:type="spellEnd"/>
            <w:r w:rsidRPr="00176170">
              <w:rPr>
                <w:rFonts w:ascii="Times New Roman" w:eastAsia="Times New Roman" w:hAnsi="Times New Roman" w:cs="Times New Roman"/>
              </w:rPr>
              <w:t>. принимать наборы текстовой информации в принадлежащий ему экземпляр Системы в соответствии с его функциональным назначением.</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4.3 Способ доставки: передача Заказчику актуальной информации осуществляется специалистами Исполнителя в согласованное с Заказчиком время либо путем актуализации Систем в сети Интернет. </w:t>
            </w:r>
          </w:p>
        </w:tc>
      </w:tr>
      <w:tr w:rsidR="00176170" w:rsidRPr="00176170" w:rsidTr="00176170">
        <w:trPr>
          <w:trHeight w:val="283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4.4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Заказчик обязуется подписывать маршрутный лист, предъявляемый специалистом Исполнителя, удостоверяющий факт пребывания специалиста у Заказчика в оговоренное время, а равно факт оказания услуги. Обо всех изменениях, связанных с возможностью информационного обслуживания, Заказчик обязан письменно уведомить Исполнителя за один рабочий день до установленного времени информационного обслуживания. В случае невыполнения Заказчиком обязательств, указанных в настоящем пункте, Заказчик обязуется произвести оплату информационного обслуживания (услуг по сопровождению экземпляров Системы). </w:t>
            </w:r>
          </w:p>
        </w:tc>
      </w:tr>
      <w:tr w:rsidR="00176170" w:rsidRPr="00176170" w:rsidTr="00176170">
        <w:trPr>
          <w:trHeight w:val="300"/>
        </w:trPr>
        <w:tc>
          <w:tcPr>
            <w:tcW w:w="0" w:type="auto"/>
            <w:gridSpan w:val="9"/>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5. ДЕЙСТВИЯ СПЕЦИФИКАЦИИ</w:t>
            </w:r>
          </w:p>
        </w:tc>
      </w:tr>
      <w:tr w:rsidR="00176170" w:rsidRPr="00176170" w:rsidTr="00176170">
        <w:trPr>
          <w:trHeight w:val="285"/>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 Период. Спецификация вступает в силу 1 Января 2021 г. и заканчивает свое действие в случае прекращения Договора.</w:t>
            </w:r>
          </w:p>
        </w:tc>
      </w:tr>
      <w:tr w:rsidR="00176170" w:rsidRPr="00176170" w:rsidTr="00176170">
        <w:trPr>
          <w:trHeight w:val="105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5.2 Отказ от услуг. Заказчик имеет право отказаться полностью или частично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5.3 Отказ от Договора. Исполнитель имеет право отказаться от исполнения Договора в одностороннем порядке в случае нарушения Заказчиком </w:t>
            </w:r>
            <w:proofErr w:type="spellStart"/>
            <w:r w:rsidRPr="00176170">
              <w:rPr>
                <w:rFonts w:ascii="Times New Roman" w:eastAsia="Times New Roman" w:hAnsi="Times New Roman" w:cs="Times New Roman"/>
              </w:rPr>
              <w:t>п.п</w:t>
            </w:r>
            <w:proofErr w:type="spellEnd"/>
            <w:r w:rsidRPr="00176170">
              <w:rPr>
                <w:rFonts w:ascii="Times New Roman" w:eastAsia="Times New Roman" w:hAnsi="Times New Roman" w:cs="Times New Roman"/>
              </w:rPr>
              <w:t>. 3.1, 3.2 настоящей Спецификации.</w:t>
            </w:r>
          </w:p>
        </w:tc>
      </w:tr>
      <w:tr w:rsidR="00176170" w:rsidRPr="00176170" w:rsidTr="00176170">
        <w:trPr>
          <w:trHeight w:val="540"/>
        </w:trPr>
        <w:tc>
          <w:tcPr>
            <w:tcW w:w="0" w:type="auto"/>
            <w:gridSpan w:val="9"/>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5.4 Изменение. В случаях, предусмотренных Договором, Исполнитель вправе изменить параметры или название экземпляров Систем в одностороннем порядке.</w:t>
            </w:r>
          </w:p>
        </w:tc>
      </w:tr>
      <w:tr w:rsidR="00176170" w:rsidRPr="00176170" w:rsidTr="00176170">
        <w:trPr>
          <w:trHeight w:val="22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300"/>
        </w:trPr>
        <w:tc>
          <w:tcPr>
            <w:tcW w:w="0" w:type="auto"/>
            <w:gridSpan w:val="3"/>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ЗАКАЗЧИК: </w:t>
            </w: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gridSpan w:val="5"/>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 xml:space="preserve">ИСПОЛНИТЕЛЬ: </w:t>
            </w:r>
          </w:p>
        </w:tc>
      </w:tr>
      <w:tr w:rsidR="00176170" w:rsidRPr="00176170" w:rsidTr="00176170">
        <w:trPr>
          <w:trHeight w:val="825"/>
        </w:trPr>
        <w:tc>
          <w:tcPr>
            <w:tcW w:w="0" w:type="auto"/>
            <w:gridSpan w:val="3"/>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Муниципальное унитарное предприятие Березовское водо-канализационное хозяйство "Водоканал"</w:t>
            </w: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gridSpan w:val="5"/>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r w:rsidRPr="00176170">
              <w:rPr>
                <w:rFonts w:ascii="Times New Roman" w:eastAsia="Times New Roman" w:hAnsi="Times New Roman" w:cs="Times New Roman"/>
                <w:b/>
                <w:bCs/>
              </w:rPr>
              <w:t>ООО "Информационные электронные технологии"</w:t>
            </w:r>
          </w:p>
        </w:tc>
      </w:tr>
      <w:tr w:rsidR="00176170" w:rsidRPr="00176170" w:rsidTr="00176170">
        <w:trPr>
          <w:trHeight w:val="285"/>
        </w:trPr>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285"/>
        </w:trPr>
        <w:tc>
          <w:tcPr>
            <w:tcW w:w="0" w:type="auto"/>
            <w:tcBorders>
              <w:bottom w:val="nil"/>
            </w:tcBorders>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c>
          <w:tcPr>
            <w:tcW w:w="0" w:type="auto"/>
            <w:gridSpan w:val="5"/>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r>
      <w:tr w:rsidR="00176170" w:rsidRPr="00176170" w:rsidTr="00176170">
        <w:trPr>
          <w:trHeight w:val="390"/>
        </w:trPr>
        <w:tc>
          <w:tcPr>
            <w:tcW w:w="0" w:type="auto"/>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 / Алешина А.А. /</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5"/>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 Тумаков Е.И. /</w:t>
            </w:r>
          </w:p>
        </w:tc>
      </w:tr>
      <w:tr w:rsidR="00176170" w:rsidRPr="00176170" w:rsidTr="00176170">
        <w:trPr>
          <w:trHeight w:val="28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176170">
        <w:trPr>
          <w:trHeight w:val="285"/>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bl>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p w:rsidR="00176170" w:rsidRPr="00176170" w:rsidRDefault="00176170" w:rsidP="00C065B0">
      <w:pPr>
        <w:spacing w:after="0"/>
        <w:rPr>
          <w:rFonts w:ascii="Times New Roman" w:hAnsi="Times New Roman" w:cs="Times New Roman"/>
        </w:rPr>
      </w:pPr>
    </w:p>
    <w:tbl>
      <w:tblPr>
        <w:tblW w:w="13575" w:type="dxa"/>
        <w:tblInd w:w="-567" w:type="dxa"/>
        <w:tblCellMar>
          <w:left w:w="30" w:type="dxa"/>
          <w:right w:w="0" w:type="dxa"/>
        </w:tblCellMar>
        <w:tblLook w:val="04A0" w:firstRow="1" w:lastRow="0" w:firstColumn="1" w:lastColumn="0" w:noHBand="0" w:noVBand="1"/>
      </w:tblPr>
      <w:tblGrid>
        <w:gridCol w:w="36"/>
        <w:gridCol w:w="36"/>
        <w:gridCol w:w="36"/>
        <w:gridCol w:w="9854"/>
        <w:gridCol w:w="372"/>
        <w:gridCol w:w="3133"/>
        <w:gridCol w:w="36"/>
        <w:gridCol w:w="36"/>
        <w:gridCol w:w="36"/>
      </w:tblGrid>
      <w:tr w:rsidR="00176170" w:rsidRPr="00176170" w:rsidTr="00200CA1">
        <w:trPr>
          <w:gridAfter w:val="8"/>
          <w:wAfter w:w="13539" w:type="dxa"/>
        </w:trPr>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200CA1">
        <w:trPr>
          <w:gridAfter w:val="5"/>
          <w:wAfter w:w="3613" w:type="dxa"/>
          <w:trHeight w:val="2100"/>
        </w:trPr>
        <w:tc>
          <w:tcPr>
            <w:tcW w:w="9962" w:type="dxa"/>
            <w:gridSpan w:val="4"/>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Дополнительное соглашение</w:t>
            </w:r>
            <w:r w:rsidRPr="00176170">
              <w:rPr>
                <w:rFonts w:ascii="Times New Roman" w:eastAsia="Times New Roman" w:hAnsi="Times New Roman" w:cs="Times New Roman"/>
                <w:b/>
                <w:bCs/>
              </w:rPr>
              <w:br/>
              <w:t>об использовании электронных документов</w:t>
            </w:r>
            <w:r w:rsidRPr="00176170">
              <w:rPr>
                <w:rFonts w:ascii="Times New Roman" w:eastAsia="Times New Roman" w:hAnsi="Times New Roman" w:cs="Times New Roman"/>
                <w:b/>
                <w:bCs/>
              </w:rPr>
              <w:br/>
              <w:t>к Договору №37307/2021Н от _____________</w:t>
            </w:r>
            <w:r w:rsidRPr="00176170">
              <w:rPr>
                <w:rFonts w:ascii="Times New Roman" w:eastAsia="Times New Roman" w:hAnsi="Times New Roman" w:cs="Times New Roman"/>
                <w:b/>
                <w:bCs/>
              </w:rPr>
              <w:br/>
              <w:t xml:space="preserve">оказания информационных услуг </w:t>
            </w:r>
            <w:r w:rsidRPr="00176170">
              <w:rPr>
                <w:rFonts w:ascii="Times New Roman" w:eastAsia="Times New Roman" w:hAnsi="Times New Roman" w:cs="Times New Roman"/>
                <w:b/>
                <w:bCs/>
              </w:rPr>
              <w:br/>
              <w:t>с использованием экземпляра(</w:t>
            </w:r>
            <w:proofErr w:type="spellStart"/>
            <w:r w:rsidRPr="00176170">
              <w:rPr>
                <w:rFonts w:ascii="Times New Roman" w:eastAsia="Times New Roman" w:hAnsi="Times New Roman" w:cs="Times New Roman"/>
                <w:b/>
                <w:bCs/>
              </w:rPr>
              <w:t>ов</w:t>
            </w:r>
            <w:proofErr w:type="spellEnd"/>
            <w:r w:rsidRPr="00176170">
              <w:rPr>
                <w:rFonts w:ascii="Times New Roman" w:eastAsia="Times New Roman" w:hAnsi="Times New Roman" w:cs="Times New Roman"/>
                <w:b/>
                <w:bCs/>
              </w:rPr>
              <w:t xml:space="preserve">) Системы(м) семейства </w:t>
            </w:r>
            <w:proofErr w:type="spellStart"/>
            <w:r w:rsidRPr="00176170">
              <w:rPr>
                <w:rFonts w:ascii="Times New Roman" w:eastAsia="Times New Roman" w:hAnsi="Times New Roman" w:cs="Times New Roman"/>
                <w:b/>
                <w:bCs/>
              </w:rPr>
              <w:t>КонсультантПлюс</w:t>
            </w:r>
            <w:proofErr w:type="spellEnd"/>
            <w:r w:rsidRPr="00176170">
              <w:rPr>
                <w:rFonts w:ascii="Times New Roman" w:eastAsia="Times New Roman" w:hAnsi="Times New Roman" w:cs="Times New Roman"/>
                <w:b/>
                <w:bCs/>
              </w:rPr>
              <w:t xml:space="preserve"> </w:t>
            </w:r>
          </w:p>
        </w:tc>
      </w:tr>
      <w:tr w:rsidR="00176170" w:rsidRPr="00176170" w:rsidTr="00200CA1">
        <w:trPr>
          <w:gridAfter w:val="3"/>
          <w:wAfter w:w="108" w:type="dxa"/>
          <w:trHeight w:val="300"/>
        </w:trPr>
        <w:tc>
          <w:tcPr>
            <w:tcW w:w="9962"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г. Екатеринбург</w:t>
            </w:r>
          </w:p>
        </w:tc>
        <w:tc>
          <w:tcPr>
            <w:tcW w:w="3505" w:type="dxa"/>
            <w:gridSpan w:val="2"/>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r w:rsidRPr="00176170">
              <w:rPr>
                <w:rFonts w:ascii="Times New Roman" w:eastAsia="Times New Roman" w:hAnsi="Times New Roman" w:cs="Times New Roman"/>
                <w:b/>
                <w:bCs/>
              </w:rPr>
              <w:t>_____________</w:t>
            </w:r>
          </w:p>
        </w:tc>
      </w:tr>
      <w:tr w:rsidR="00A4266D" w:rsidRPr="00176170" w:rsidTr="00200CA1">
        <w:trPr>
          <w:trHeight w:val="405"/>
        </w:trPr>
        <w:tc>
          <w:tcPr>
            <w:tcW w:w="0" w:type="auto"/>
            <w:vAlign w:val="center"/>
            <w:hideMark/>
          </w:tcPr>
          <w:p w:rsidR="00176170" w:rsidRPr="00176170" w:rsidRDefault="00176170" w:rsidP="00176170">
            <w:pPr>
              <w:spacing w:after="0" w:line="240" w:lineRule="auto"/>
              <w:jc w:val="right"/>
              <w:rPr>
                <w:rFonts w:ascii="Times New Roman" w:eastAsia="Times New Roman" w:hAnsi="Times New Roman" w:cs="Times New Roman"/>
                <w:b/>
                <w:bCs/>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0" w:type="auto"/>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9854"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7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3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200CA1">
        <w:trPr>
          <w:gridAfter w:val="5"/>
          <w:wAfter w:w="3613" w:type="dxa"/>
          <w:trHeight w:val="219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ООО "Информационные электронные технологии", именуемое в дальнейшем «Сторона-1», в лице директора </w:t>
            </w:r>
            <w:proofErr w:type="spellStart"/>
            <w:r w:rsidRPr="00176170">
              <w:rPr>
                <w:rFonts w:ascii="Times New Roman" w:eastAsia="Times New Roman" w:hAnsi="Times New Roman" w:cs="Times New Roman"/>
              </w:rPr>
              <w:t>Тумакова</w:t>
            </w:r>
            <w:proofErr w:type="spellEnd"/>
            <w:r w:rsidRPr="00176170">
              <w:rPr>
                <w:rFonts w:ascii="Times New Roman" w:eastAsia="Times New Roman" w:hAnsi="Times New Roman" w:cs="Times New Roman"/>
              </w:rPr>
              <w:t xml:space="preserve"> Евгения Игоревича, действующего на основании Устава, с одной стороны, и Муниципальное унитарное предприятие Березовское водо-канализационное хозяйство "Водоканал" именуем______ в дальнейшем «Сторона-2», в лице ___________________________________________________________, </w:t>
            </w:r>
            <w:proofErr w:type="spellStart"/>
            <w:r w:rsidRPr="00176170">
              <w:rPr>
                <w:rFonts w:ascii="Times New Roman" w:eastAsia="Times New Roman" w:hAnsi="Times New Roman" w:cs="Times New Roman"/>
              </w:rPr>
              <w:t>действующ</w:t>
            </w:r>
            <w:proofErr w:type="spellEnd"/>
            <w:r w:rsidRPr="00176170">
              <w:rPr>
                <w:rFonts w:ascii="Times New Roman" w:eastAsia="Times New Roman" w:hAnsi="Times New Roman" w:cs="Times New Roman"/>
              </w:rPr>
              <w:t xml:space="preserve">_____ на основании __________________________________________, с другой стороны, совместно именуемые «Стороны», а каждая по отдельности – «Сторона», заключили настоящее Соглашение об использовании электронных документов (далее по тексту - Соглашение) к Договору № 37307/2021Н от _____________ (далее - Договор) о нижеследующем: </w:t>
            </w:r>
          </w:p>
        </w:tc>
      </w:tr>
      <w:tr w:rsidR="00176170" w:rsidRPr="00176170" w:rsidTr="00200CA1">
        <w:trPr>
          <w:gridAfter w:val="5"/>
          <w:wAfter w:w="3613" w:type="dxa"/>
          <w:trHeight w:val="315"/>
        </w:trPr>
        <w:tc>
          <w:tcPr>
            <w:tcW w:w="9962" w:type="dxa"/>
            <w:gridSpan w:val="4"/>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1. Термины и определения</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1.1.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1.2. Квалифицированная ЭП - вид усиленной электронной подписи, принадлежность которой лицу подтверждена квалифицированным сертификатом (сертификатом ключа проверки квалифицированной ЭП), выданным аккредитованным удостоверяющим центром.</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1.3. Электронный документооборот (ЭДО) – процесс обмена между Сторонами документами, составленными в электронном виде в системе специального ПО (далее по тексту - «ПО») и подписанными квалифицированной ЭП.</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1.4. Электронный документ (ЭД) - документ, в котором информация представлена в электронно-цифровой форме. Электронный документ может быть формализованным, т.е. с регламентированным набором полей и реквизитов, и неформализованным.</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1.5.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tc>
      </w:tr>
      <w:tr w:rsidR="00176170" w:rsidRPr="00176170" w:rsidTr="00200CA1">
        <w:trPr>
          <w:gridAfter w:val="5"/>
          <w:wAfter w:w="3613" w:type="dxa"/>
          <w:trHeight w:val="57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1.6. Направляющая Сторона – Сторона-1 или Сторона-2, направляющая документ в электронном виде по телекоммуникационным каналам связи другой Стороне.</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1.7. Получающая Сторона – Сторона-1 или Сторона-2, получающая от Направляющей Стороны документ в электронном виде по телекоммуникационным каналам связи.</w:t>
            </w:r>
          </w:p>
        </w:tc>
      </w:tr>
      <w:tr w:rsidR="00176170" w:rsidRPr="00176170" w:rsidTr="00200CA1">
        <w:trPr>
          <w:gridAfter w:val="5"/>
          <w:wAfter w:w="3613" w:type="dxa"/>
          <w:trHeight w:val="300"/>
        </w:trPr>
        <w:tc>
          <w:tcPr>
            <w:tcW w:w="9962"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1.8. Документ – общее название документов, которыми обмениваются Стороны настоящего Соглашения.</w:t>
            </w:r>
          </w:p>
        </w:tc>
      </w:tr>
      <w:tr w:rsidR="00176170" w:rsidRPr="00176170" w:rsidTr="00200CA1">
        <w:trPr>
          <w:gridAfter w:val="5"/>
          <w:wAfter w:w="3613" w:type="dxa"/>
          <w:trHeight w:val="48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2. Предмет Соглашения и общие обязательства Сторон</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2.1. Настоящим Стороны соглашаются в целях и в связи с исполнением своих обязательств по Договору № 37307/2021Н от _____________, заключенным между Сторонами, (далее по тексту – Договор) осуществлять электронный обмен документами по телекоммуникационным каналам связи, подписанными электронной подписью в порядке, определенном настоящим Соглашением. </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2.2. Электронный обмен документами осуществляется Сторонами в соответствии с ГК РФ, Налоговым кодексом РФ, Федеральным законом от 06.04.2011 года N 63-ФЗ "Об электронной подписи", Приказом Минфина России от 10.11.2015 № 174н, а также в соответствии с внесенными в них изменениями и/или в соответствии с новыми законодательными актами и документами.</w:t>
            </w:r>
          </w:p>
        </w:tc>
      </w:tr>
      <w:tr w:rsidR="00176170" w:rsidRPr="00176170" w:rsidTr="00200CA1">
        <w:trPr>
          <w:gridAfter w:val="5"/>
          <w:wAfter w:w="3613" w:type="dxa"/>
          <w:trHeight w:val="165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2.3. Электронный обмен документами осуществляется в рамках выставления и получения счетов-фактур, а также в рамках обмена Сторонами иными документами, а именно: Акт выполненных работ/оказанных услуг, Отказ от подписания Акта выполненных работ/оказанных услуг, Акт сверки взаиморасчетов, Счет-фактура, Приложение к Договору, Дополнительное соглашение к Договору, Счет на оплату, Письмо, Уведомление, и другие официальные документы. Перечень вышеуказанных документов, в отношении которых Сторонами осуществляется ЭДО, является открытым и может изменяться по обоюдному согласию Сторон. </w:t>
            </w:r>
          </w:p>
        </w:tc>
      </w:tr>
      <w:tr w:rsidR="00176170" w:rsidRPr="00176170" w:rsidTr="00200CA1">
        <w:trPr>
          <w:gridAfter w:val="5"/>
          <w:wAfter w:w="3613" w:type="dxa"/>
          <w:trHeight w:val="57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2.4. Настоящее Соглашение регулирует отношения Сторон при осуществлении электронного обмена документами, по телекоммуникационным каналам связи, подписанными квалифицированной ЭП.</w:t>
            </w:r>
          </w:p>
        </w:tc>
      </w:tr>
      <w:tr w:rsidR="00176170" w:rsidRPr="00176170" w:rsidTr="00200CA1">
        <w:trPr>
          <w:gridAfter w:val="5"/>
          <w:wAfter w:w="3613" w:type="dxa"/>
          <w:trHeight w:val="30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2.5. Стороны используют квалифицированную ЭП, выданную аккредитованным удостоверяющим центром.</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2.6. Стороны признают, что получение документов в электронном виде и подписанных квалифицированной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2.7. 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tc>
      </w:tr>
      <w:tr w:rsidR="00176170" w:rsidRPr="00176170" w:rsidTr="00200CA1">
        <w:trPr>
          <w:gridAfter w:val="5"/>
          <w:wAfter w:w="3613" w:type="dxa"/>
          <w:trHeight w:val="57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2.8. Стороны вправе в любое время и без согласования с другой Стороной вносить изменения в формы и порядок заполнения документов, с учетом действующего законодательства.</w:t>
            </w:r>
          </w:p>
        </w:tc>
      </w:tr>
      <w:tr w:rsidR="00176170" w:rsidRPr="00176170" w:rsidTr="00200CA1">
        <w:trPr>
          <w:gridAfter w:val="5"/>
          <w:wAfter w:w="3613" w:type="dxa"/>
          <w:trHeight w:val="60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3. Условия действительности квалифицированной ЭП</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3.1. Информация в электронной форме, подписанная квалифицированной ЭП, признается электронным документом, равнозначным документу на бумажном носителе, подписанному собственноручной подписью.</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tc>
      </w:tr>
      <w:tr w:rsidR="00176170" w:rsidRPr="00176170" w:rsidTr="00200CA1">
        <w:trPr>
          <w:gridAfter w:val="5"/>
          <w:wAfter w:w="3613" w:type="dxa"/>
          <w:trHeight w:val="106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tc>
      </w:tr>
      <w:tr w:rsidR="00176170" w:rsidRPr="00176170" w:rsidTr="00200CA1">
        <w:trPr>
          <w:gridAfter w:val="5"/>
          <w:wAfter w:w="3613" w:type="dxa"/>
          <w:trHeight w:val="183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06.04.2011 г. № 63-ФЗ «Об электронной подписи», и с использованием квалифицированного сертификата лица, подписавшего электронный документ;</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3.2. Стороны обязаны использовать квалифицированную ЭП, выданную любым аккредитованным удостоверяющим центром.</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п.2.7. настоящего Соглашения.</w:t>
            </w:r>
          </w:p>
        </w:tc>
      </w:tr>
      <w:tr w:rsidR="00176170" w:rsidRPr="00176170" w:rsidTr="00200CA1">
        <w:trPr>
          <w:gridAfter w:val="5"/>
          <w:wAfter w:w="3613" w:type="dxa"/>
          <w:trHeight w:val="90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4. Порядок выставления и получения счетов-фактур в электронном виде по телекоммуникационным каналам связи с использованием квалифицированной ЭП</w:t>
            </w:r>
          </w:p>
        </w:tc>
      </w:tr>
      <w:tr w:rsidR="00176170" w:rsidRPr="00176170" w:rsidTr="00200CA1">
        <w:trPr>
          <w:gridAfter w:val="5"/>
          <w:wAfter w:w="3613" w:type="dxa"/>
          <w:trHeight w:val="157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4.1. Стороны осуществляют выставление и получение счетов-фактур по телекоммуникационным каналам связи с использованием квалифицированной ЭП согласно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утвержденному Приказом Министерства финансов РФ от 10.11.2015 № 174н (далее – «Порядок»), а в случае окончания действия указанного Порядка, согласно другим действующим законодательным актам и документам.</w:t>
            </w:r>
          </w:p>
        </w:tc>
      </w:tr>
      <w:tr w:rsidR="00176170" w:rsidRPr="00176170" w:rsidTr="00200CA1">
        <w:trPr>
          <w:gridAfter w:val="5"/>
          <w:wAfter w:w="3613" w:type="dxa"/>
          <w:trHeight w:val="132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5. Порядок выставления, направления и обмена иными документами, перечисленными в п.2.3. Соглашения,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квалифицированной ЭП</w:t>
            </w:r>
          </w:p>
        </w:tc>
      </w:tr>
      <w:tr w:rsidR="00176170" w:rsidRPr="00176170" w:rsidTr="00200CA1">
        <w:trPr>
          <w:gridAfter w:val="5"/>
          <w:wAfter w:w="3613" w:type="dxa"/>
          <w:trHeight w:val="30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 Для участия в ЭДО Сторонам необходимо:</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а) не позднее 15 дней после подписания настоящего Соглашения получить за свой счет сертификаты электронных ключей подписи руководителя либо иных лиц, уполномоченных на это приказом (иным распорядительным документом) или доверенностью от имени Стороны;</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б) оформить и представить Оператору заявление об участии в ЭДО в электронном виде по телекоммуникационным каналам связи согласно требованиям соответствующего Оператора, предъявляемым к такому заявлению;</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в) получить у Оператора идентификатор участника ЭДО, реквизиты доступа и другие данные, необходимые для подключения к ЭДО.</w:t>
            </w:r>
          </w:p>
        </w:tc>
      </w:tr>
      <w:tr w:rsidR="00176170" w:rsidRPr="00176170" w:rsidTr="00200CA1">
        <w:trPr>
          <w:gridAfter w:val="5"/>
          <w:wAfter w:w="3613" w:type="dxa"/>
          <w:trHeight w:val="106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5.2. В случае изменения учетных данных, содержащихся в заявлении об участии в ЭДО в электронном виде по телекоммуникационным каналам связи, участник ЭДО не позднее 3 (трех) рабочих дней со дня соответствующего изменения представляет Оператору ЭДО заявление о внесении изменений в ранее сообщенные данные и сообщает новые учетные данные другой Стороне.</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5.3. Направляющая Сторона формирует необходимый Документ в электронном виде в системе программного обеспечения (далее по тексту- ПО), подписывает его Квалифицированной ЭП, упаковывает в транспортный контейнер и отправляет через Оператора Получающей Стороне.</w:t>
            </w:r>
          </w:p>
        </w:tc>
      </w:tr>
      <w:tr w:rsidR="00176170" w:rsidRPr="00176170" w:rsidTr="00200CA1">
        <w:trPr>
          <w:gridAfter w:val="5"/>
          <w:wAfter w:w="3613" w:type="dxa"/>
          <w:trHeight w:val="106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5.4. 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(далее по тексту -ПДП) и отправляет его Направляющей Стороне.</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5.5. Направляющая Сторона при получении ПДП проверяет действительность сертификата Квалифицированной ЭП и сохраняет его в системе ПО.</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5.6. При обнаружении ошибок в полученном контейнере Оператор формирует сообщение об ошибке и отправляет его Направляющей Стороне.</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5.7. 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5.8. Одновременно Получающая Сторона не позднее 3 (трех) рабочих дней формирует Извещение о получении (далее по тексту - ИОП), в котором фиксирует факт доставки Документа, подписывает ее Квалифицированной ЭП и отправляет Направляющей стороне через Оператора. </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5.9. Направляющая сторона, получив ИОП, проверяет действительность сертификата Квалифицированной ЭП и сохраняет его в системе ПО.</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5.10. Получающая Сторона, ознакомившись с Документом, может не позднее 2 (двух) рабочих дней совершить одно из следующих действий: </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5.10.1. Сформировать ответный Документ, подписать его Квалифицированной ЭП и отправить Направляющей Стороне через Оператора – в том случае, если Получающая Сторона согласна с содержанием Документа.</w:t>
            </w:r>
          </w:p>
        </w:tc>
      </w:tr>
      <w:tr w:rsidR="00176170" w:rsidRPr="00176170" w:rsidTr="00200CA1">
        <w:trPr>
          <w:gridAfter w:val="5"/>
          <w:wAfter w:w="3613" w:type="dxa"/>
          <w:trHeight w:val="8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5.10.2. При несогласии с содержанием Документа – сформировать Уведомление об отказе (далее по тексту -УОО), указав причину несогласия, подписать его Квалифицированной ЭП и отправить Направляющей Стороне через Оператора.</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5.11. Направляющая Сторона, получившая ответный Документ либо УОО, проверяет действительность сертификата Квалифицированной ЭП и сохраняет их в системе ПО.</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5.12. При необходимости Направляющая сторона не позднее 2 (двух) рабочих дней вносит исправления в данные и повторяет действия, установленные п. 5.3. настоящего Соглашения. </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5.13. В случае если Направляющая сторона не получила от Получающей Стороны в установленный срок извещение о получении Акта выполненных работ/оказанных услуг, Акта сверки взаиморасчетов в электронном виде либо мотивированного отказа о принятии указанных документов, то такой Акт выполненных работ/оказанных услуг, Акт сверки взаиморасчетов считается полученным Получающей стороной.</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5.14. В случае если Направляющая сторона не получила от Получающей Стороны подписанный Получающей Стороной Акт выполненных работ/оказанных услуг или мотивированный отказ от подписания Акта выполненных работ/оказанных услуг в течение 5 (пяти) рабочих дней с момента его получения, такой Акт выполненных работ/оказанных услуг считается подписанным Получающей Стороной, а услуги оказанными в полном объеме с должным качеством и принятыми Получающей Стороной.</w:t>
            </w:r>
          </w:p>
        </w:tc>
      </w:tr>
      <w:tr w:rsidR="00176170" w:rsidRPr="00176170" w:rsidTr="00200CA1">
        <w:trPr>
          <w:gridAfter w:val="5"/>
          <w:wAfter w:w="3613" w:type="dxa"/>
          <w:trHeight w:val="45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6. Первый (тестовый) обмен документом</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6.1. В целях проверки работоспособности и/или совместимости технических средств Сторон и/или Операторов ЭДО, Стороны устанавливают первый (тестовый) обмен документами разного формата в электронном виде. Положительным результатом первого (тестового) обмена документами является извещение от Получающей стороны о получении соответствующего документа и, в случае необходимости, его подписания.</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6.2. В случае положительного результата первого (тестового) обмена соответствующим документом, такой документ в электронном виде считается оригиналом. </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6.3. В случае если в результате первого (тестового) обмена документом в электронном виде будет выявлена неработоспособность и/или несовместимость технических средств Сторон и/или Операторов, ЭДО между Сторонами не применяется до момента положительного результата тестового обмена документом. При этом в течение периода до момента положительного результата тестового обмена документом, все документы дублируются бумажными экземплярами и считаются оригиналами. </w:t>
            </w:r>
          </w:p>
        </w:tc>
      </w:tr>
      <w:tr w:rsidR="00176170" w:rsidRPr="00176170" w:rsidTr="00200CA1">
        <w:trPr>
          <w:gridAfter w:val="5"/>
          <w:wAfter w:w="3613" w:type="dxa"/>
          <w:trHeight w:val="48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7. Срок действия Соглашения</w:t>
            </w:r>
          </w:p>
        </w:tc>
      </w:tr>
      <w:tr w:rsidR="00176170" w:rsidRPr="00176170" w:rsidTr="00200CA1">
        <w:trPr>
          <w:gridAfter w:val="5"/>
          <w:wAfter w:w="3613" w:type="dxa"/>
          <w:trHeight w:val="555"/>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7.1. Соглашение вступает в силу с момента его подписания и действует в течение срока действия Договора. </w:t>
            </w:r>
          </w:p>
        </w:tc>
      </w:tr>
      <w:tr w:rsidR="00176170" w:rsidRPr="00176170" w:rsidTr="00200CA1">
        <w:trPr>
          <w:gridAfter w:val="5"/>
          <w:wAfter w:w="3613" w:type="dxa"/>
          <w:trHeight w:val="13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7.2. В случае отказа любой из Сторон от обмена документами в электронном виде, подписанными квалифицированной ЭП, такая Сторона обязана известить в письменном виде другую Сторону за 10 (десять) рабочих дней до предполагаемой даты окончания использования ЭДО и расторжения Соглашения. Прекращение использования Сторонами ЭДО не требует подписания сторонами какого-либо дополнительного соглашения. </w:t>
            </w:r>
          </w:p>
        </w:tc>
      </w:tr>
      <w:tr w:rsidR="00176170" w:rsidRPr="00176170" w:rsidTr="00200CA1">
        <w:trPr>
          <w:gridAfter w:val="5"/>
          <w:wAfter w:w="3613" w:type="dxa"/>
          <w:trHeight w:val="390"/>
        </w:trPr>
        <w:tc>
          <w:tcPr>
            <w:tcW w:w="9962" w:type="dxa"/>
            <w:gridSpan w:val="4"/>
            <w:vAlign w:val="bottom"/>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8. Прочие условия</w:t>
            </w:r>
          </w:p>
        </w:tc>
      </w:tr>
      <w:tr w:rsidR="00176170" w:rsidRPr="00176170" w:rsidTr="00200CA1">
        <w:trPr>
          <w:gridAfter w:val="5"/>
          <w:wAfter w:w="3613" w:type="dxa"/>
          <w:trHeight w:val="192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8.1.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электронного документа от Направляющей стороны и/или Оператора Направляющей стороны, и при условии отсутствия от Получающей Стороны уведомления согласно п.2.7.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8.2.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 </w:t>
            </w:r>
          </w:p>
        </w:tc>
      </w:tr>
      <w:tr w:rsidR="00176170" w:rsidRPr="00176170" w:rsidTr="00200CA1">
        <w:trPr>
          <w:gridAfter w:val="5"/>
          <w:wAfter w:w="3613" w:type="dxa"/>
          <w:trHeight w:val="111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8.3. Ввиду перехода на электронный документооборот, Стороны производят оплату услуг только сами за себя. В случае совершения платежа третьим лицом, Стороны обязаны в день произведения такого платежа незамедлительно сообщать о факте такого платежа любыми доступными способами (телефон, факс, электронная почта). В противном случае Стороны оформляют необходимые документы на лицо, которое совершило платеж.</w:t>
            </w:r>
          </w:p>
        </w:tc>
      </w:tr>
      <w:tr w:rsidR="00176170" w:rsidRPr="00176170" w:rsidTr="00200CA1">
        <w:trPr>
          <w:gridAfter w:val="5"/>
          <w:wAfter w:w="3613" w:type="dxa"/>
          <w:trHeight w:val="84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8.4. Вопросы, не урегулированные настоящим Соглашением, подлежат разрешению в соответствии с законодательством РФ. В случае невозможности разрешения споров между Сторонами путем переговоров, они должны решаться в Арбитражном суде Свердловской области. </w:t>
            </w:r>
          </w:p>
        </w:tc>
      </w:tr>
      <w:tr w:rsidR="00176170" w:rsidRPr="00176170" w:rsidTr="00200CA1">
        <w:trPr>
          <w:gridAfter w:val="5"/>
          <w:wAfter w:w="3613" w:type="dxa"/>
          <w:trHeight w:val="1380"/>
        </w:trPr>
        <w:tc>
          <w:tcPr>
            <w:tcW w:w="9962"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 xml:space="preserve">8.5. В случае, если в течение срока действия Соглашения, какие-либо положения Договора будут противоречить законодательству в виду его изменения, в данной части стороны будут руководствоваться положениями и нормами действующего на соответствующий период времени законодательства. При наступлении указанных событий, Соглашение будет являться действующим в части, не противоречащей законодательству и Стороны вправе не вносить такие изменения в Соглашение. </w:t>
            </w:r>
          </w:p>
        </w:tc>
      </w:tr>
    </w:tbl>
    <w:p w:rsidR="00200CA1" w:rsidRDefault="00200CA1" w:rsidP="00176170">
      <w:pPr>
        <w:spacing w:after="0" w:line="240" w:lineRule="auto"/>
        <w:jc w:val="center"/>
        <w:rPr>
          <w:rFonts w:ascii="Times New Roman" w:eastAsia="Times New Roman" w:hAnsi="Times New Roman" w:cs="Times New Roman"/>
          <w:b/>
          <w:bCs/>
        </w:rPr>
        <w:sectPr w:rsidR="00200CA1" w:rsidSect="00AE15B2">
          <w:pgSz w:w="11906" w:h="16838"/>
          <w:pgMar w:top="1134" w:right="850" w:bottom="1134" w:left="1701" w:header="708" w:footer="708" w:gutter="0"/>
          <w:cols w:space="708"/>
          <w:docGrid w:linePitch="360"/>
        </w:sectPr>
      </w:pPr>
    </w:p>
    <w:tbl>
      <w:tblPr>
        <w:tblW w:w="9908" w:type="dxa"/>
        <w:tblInd w:w="-567" w:type="dxa"/>
        <w:tblLayout w:type="fixed"/>
        <w:tblCellMar>
          <w:left w:w="30" w:type="dxa"/>
          <w:right w:w="0" w:type="dxa"/>
        </w:tblCellMar>
        <w:tblLook w:val="04A0" w:firstRow="1" w:lastRow="0" w:firstColumn="1" w:lastColumn="0" w:noHBand="0" w:noVBand="1"/>
      </w:tblPr>
      <w:tblGrid>
        <w:gridCol w:w="552"/>
        <w:gridCol w:w="551"/>
        <w:gridCol w:w="551"/>
        <w:gridCol w:w="3166"/>
        <w:gridCol w:w="423"/>
        <w:gridCol w:w="1805"/>
        <w:gridCol w:w="2710"/>
        <w:gridCol w:w="50"/>
        <w:gridCol w:w="50"/>
        <w:gridCol w:w="12"/>
        <w:gridCol w:w="38"/>
      </w:tblGrid>
      <w:tr w:rsidR="00176170" w:rsidRPr="00176170" w:rsidTr="00D630B7">
        <w:trPr>
          <w:gridAfter w:val="7"/>
          <w:wAfter w:w="5088" w:type="dxa"/>
          <w:trHeight w:val="315"/>
        </w:trPr>
        <w:tc>
          <w:tcPr>
            <w:tcW w:w="4820" w:type="dxa"/>
            <w:gridSpan w:val="4"/>
            <w:vAlign w:val="center"/>
            <w:hideMark/>
          </w:tcPr>
          <w:p w:rsidR="00176170" w:rsidRPr="00176170" w:rsidRDefault="00176170" w:rsidP="00176170">
            <w:pPr>
              <w:spacing w:after="0" w:line="240" w:lineRule="auto"/>
              <w:jc w:val="center"/>
              <w:rPr>
                <w:rFonts w:ascii="Times New Roman" w:eastAsia="Times New Roman" w:hAnsi="Times New Roman" w:cs="Times New Roman"/>
                <w:b/>
                <w:bCs/>
              </w:rPr>
            </w:pPr>
            <w:r w:rsidRPr="00176170">
              <w:rPr>
                <w:rFonts w:ascii="Times New Roman" w:eastAsia="Times New Roman" w:hAnsi="Times New Roman" w:cs="Times New Roman"/>
                <w:b/>
                <w:bCs/>
              </w:rPr>
              <w:t>9. Реквизиты и подписи сторон</w:t>
            </w:r>
          </w:p>
        </w:tc>
      </w:tr>
      <w:tr w:rsidR="00176170" w:rsidRPr="00176170" w:rsidTr="00D630B7">
        <w:trPr>
          <w:gridAfter w:val="5"/>
          <w:wAfter w:w="2860" w:type="dxa"/>
          <w:trHeight w:val="795"/>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СТОРОНА-2</w:t>
            </w:r>
          </w:p>
        </w:tc>
        <w:tc>
          <w:tcPr>
            <w:tcW w:w="2228"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СТОРОНА-1</w:t>
            </w:r>
          </w:p>
        </w:tc>
      </w:tr>
      <w:tr w:rsidR="00176170" w:rsidRPr="00176170" w:rsidTr="00D630B7">
        <w:trPr>
          <w:gridAfter w:val="4"/>
          <w:wAfter w:w="150" w:type="dxa"/>
          <w:trHeight w:val="84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Муниципальное унитарное предприятие Березовское водо-канализационное хозяйство "Водоканал"</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ООО "Информационные электронные технологии"</w:t>
            </w:r>
          </w:p>
        </w:tc>
      </w:tr>
      <w:tr w:rsidR="00176170" w:rsidRPr="00176170" w:rsidTr="00D630B7">
        <w:trPr>
          <w:gridAfter w:val="4"/>
          <w:wAfter w:w="150" w:type="dxa"/>
          <w:trHeight w:val="30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ИНН 6604017216</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ИНН 6673174643</w:t>
            </w:r>
          </w:p>
        </w:tc>
      </w:tr>
      <w:tr w:rsidR="00176170" w:rsidRPr="00176170" w:rsidTr="00D630B7">
        <w:trPr>
          <w:gridAfter w:val="4"/>
          <w:wAfter w:w="150" w:type="dxa"/>
          <w:trHeight w:val="30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КПП 667801001</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КПП 667001001</w:t>
            </w:r>
          </w:p>
        </w:tc>
      </w:tr>
      <w:tr w:rsidR="00176170" w:rsidRPr="00176170" w:rsidTr="00D630B7">
        <w:trPr>
          <w:gridAfter w:val="4"/>
          <w:wAfter w:w="150" w:type="dxa"/>
          <w:trHeight w:val="42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Адрес по ЕГРЮЛ:</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Адрес по ЕГРЮЛ:</w:t>
            </w:r>
          </w:p>
        </w:tc>
      </w:tr>
      <w:tr w:rsidR="00176170" w:rsidRPr="00176170" w:rsidTr="00D630B7">
        <w:trPr>
          <w:gridAfter w:val="4"/>
          <w:wAfter w:w="150" w:type="dxa"/>
          <w:trHeight w:val="57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623706, Свердловская, Березовский г, Ленина </w:t>
            </w:r>
            <w:proofErr w:type="spellStart"/>
            <w:r w:rsidRPr="00176170">
              <w:rPr>
                <w:rFonts w:ascii="Times New Roman" w:eastAsia="Times New Roman" w:hAnsi="Times New Roman" w:cs="Times New Roman"/>
              </w:rPr>
              <w:t>ул</w:t>
            </w:r>
            <w:proofErr w:type="spellEnd"/>
            <w:r w:rsidRPr="00176170">
              <w:rPr>
                <w:rFonts w:ascii="Times New Roman" w:eastAsia="Times New Roman" w:hAnsi="Times New Roman" w:cs="Times New Roman"/>
              </w:rPr>
              <w:t>, дом 52</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620062, Свердловская </w:t>
            </w:r>
            <w:proofErr w:type="spellStart"/>
            <w:r w:rsidRPr="00176170">
              <w:rPr>
                <w:rFonts w:ascii="Times New Roman" w:eastAsia="Times New Roman" w:hAnsi="Times New Roman" w:cs="Times New Roman"/>
              </w:rPr>
              <w:t>обл</w:t>
            </w:r>
            <w:proofErr w:type="spellEnd"/>
            <w:r w:rsidRPr="00176170">
              <w:rPr>
                <w:rFonts w:ascii="Times New Roman" w:eastAsia="Times New Roman" w:hAnsi="Times New Roman" w:cs="Times New Roman"/>
              </w:rPr>
              <w:t xml:space="preserve">, Екатеринбург г, Ленина </w:t>
            </w:r>
            <w:proofErr w:type="spellStart"/>
            <w:r w:rsidRPr="00176170">
              <w:rPr>
                <w:rFonts w:ascii="Times New Roman" w:eastAsia="Times New Roman" w:hAnsi="Times New Roman" w:cs="Times New Roman"/>
              </w:rPr>
              <w:t>пр-кт</w:t>
            </w:r>
            <w:proofErr w:type="spellEnd"/>
            <w:r w:rsidRPr="00176170">
              <w:rPr>
                <w:rFonts w:ascii="Times New Roman" w:eastAsia="Times New Roman" w:hAnsi="Times New Roman" w:cs="Times New Roman"/>
              </w:rPr>
              <w:t>, дом 95, оф. 57</w:t>
            </w:r>
          </w:p>
        </w:tc>
      </w:tr>
      <w:tr w:rsidR="00176170" w:rsidRPr="00176170" w:rsidTr="00D630B7">
        <w:trPr>
          <w:gridAfter w:val="4"/>
          <w:wAfter w:w="150"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Банковские реквизиты:</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b/>
                <w:bCs/>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b/>
                <w:bCs/>
              </w:rPr>
            </w:pPr>
            <w:r w:rsidRPr="00176170">
              <w:rPr>
                <w:rFonts w:ascii="Times New Roman" w:eastAsia="Times New Roman" w:hAnsi="Times New Roman" w:cs="Times New Roman"/>
                <w:b/>
                <w:bCs/>
              </w:rPr>
              <w:t>Банковские реквизиты:</w:t>
            </w:r>
          </w:p>
        </w:tc>
      </w:tr>
      <w:tr w:rsidR="00176170" w:rsidRPr="00176170" w:rsidTr="00D630B7">
        <w:trPr>
          <w:gridAfter w:val="4"/>
          <w:wAfter w:w="150"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р/с 40702810416300112315</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р/с 40702810438030000209</w:t>
            </w:r>
          </w:p>
        </w:tc>
      </w:tr>
      <w:tr w:rsidR="00176170" w:rsidRPr="00176170" w:rsidTr="00D630B7">
        <w:trPr>
          <w:gridAfter w:val="4"/>
          <w:wAfter w:w="150"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к/с 30101810500000000674</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к/с 30101810100000000964</w:t>
            </w:r>
          </w:p>
        </w:tc>
      </w:tr>
      <w:tr w:rsidR="00176170" w:rsidRPr="00176170" w:rsidTr="00D630B7">
        <w:trPr>
          <w:gridAfter w:val="4"/>
          <w:wAfter w:w="150" w:type="dxa"/>
          <w:trHeight w:val="57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в УРАЛЬСКИЙ БАНК ПАО СБЕРБАНК, Г.ЕКАТЕРИНБУРГ</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в ФИЛИАЛ "ЕКАТЕРИНБУРГСКИЙ" АО "АЛЬФА-БАНК" в Г.ЕКАТЕРИНБУРГ</w:t>
            </w:r>
          </w:p>
        </w:tc>
      </w:tr>
      <w:tr w:rsidR="00176170" w:rsidRPr="00176170" w:rsidTr="00D630B7">
        <w:trPr>
          <w:gridAfter w:val="4"/>
          <w:wAfter w:w="150" w:type="dxa"/>
          <w:trHeight w:val="30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БИК 046577674</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БИК 046577964</w:t>
            </w:r>
          </w:p>
        </w:tc>
      </w:tr>
      <w:tr w:rsidR="00176170" w:rsidRPr="00176170" w:rsidTr="00D630B7">
        <w:trPr>
          <w:gridAfter w:val="4"/>
          <w:wAfter w:w="150"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ОГРН 1069604007923</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ОГРН 1076673025220</w:t>
            </w:r>
          </w:p>
        </w:tc>
      </w:tr>
      <w:tr w:rsidR="00176170" w:rsidRPr="00176170" w:rsidTr="00D630B7">
        <w:trPr>
          <w:gridAfter w:val="4"/>
          <w:wAfter w:w="150" w:type="dxa"/>
          <w:trHeight w:val="30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xml:space="preserve">Телефон: </w:t>
            </w:r>
          </w:p>
        </w:tc>
        <w:tc>
          <w:tcPr>
            <w:tcW w:w="423" w:type="dxa"/>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Телефон: +7(950)634-11-10</w:t>
            </w:r>
          </w:p>
        </w:tc>
      </w:tr>
      <w:tr w:rsidR="00A4266D" w:rsidRPr="00176170" w:rsidTr="00D630B7">
        <w:trPr>
          <w:trHeight w:val="300"/>
        </w:trPr>
        <w:tc>
          <w:tcPr>
            <w:tcW w:w="55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A4266D" w:rsidRPr="00176170" w:rsidTr="00D630B7">
        <w:trPr>
          <w:trHeight w:val="300"/>
        </w:trPr>
        <w:tc>
          <w:tcPr>
            <w:tcW w:w="55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D630B7">
        <w:trPr>
          <w:gridAfter w:val="1"/>
          <w:wAfter w:w="38" w:type="dxa"/>
          <w:trHeight w:val="300"/>
        </w:trPr>
        <w:tc>
          <w:tcPr>
            <w:tcW w:w="4820" w:type="dxa"/>
            <w:gridSpan w:val="4"/>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2228"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Директор</w:t>
            </w:r>
          </w:p>
        </w:tc>
        <w:tc>
          <w:tcPr>
            <w:tcW w:w="2822"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D630B7">
        <w:trPr>
          <w:gridAfter w:val="4"/>
          <w:wAfter w:w="150" w:type="dxa"/>
          <w:trHeight w:val="54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 Алешина А.А. /</w:t>
            </w: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 Тумаков Е.И. /</w:t>
            </w:r>
          </w:p>
        </w:tc>
      </w:tr>
      <w:tr w:rsidR="00A4266D" w:rsidRPr="00176170" w:rsidTr="00D630B7">
        <w:trPr>
          <w:trHeight w:val="315"/>
        </w:trPr>
        <w:tc>
          <w:tcPr>
            <w:tcW w:w="1654" w:type="dxa"/>
            <w:gridSpan w:val="3"/>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          М.П.</w:t>
            </w: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М.П.</w:t>
            </w: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A4266D" w:rsidRPr="00176170" w:rsidTr="00D630B7">
        <w:trPr>
          <w:trHeight w:val="300"/>
        </w:trPr>
        <w:tc>
          <w:tcPr>
            <w:tcW w:w="55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A4266D" w:rsidRPr="00176170" w:rsidTr="00D630B7">
        <w:trPr>
          <w:trHeight w:val="300"/>
        </w:trPr>
        <w:tc>
          <w:tcPr>
            <w:tcW w:w="55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r w:rsidRPr="00176170">
              <w:rPr>
                <w:rFonts w:ascii="Times New Roman" w:eastAsia="Times New Roman" w:hAnsi="Times New Roman" w:cs="Times New Roman"/>
              </w:rPr>
              <w:t>Уважаемый клиент!</w:t>
            </w: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jc w:val="center"/>
              <w:rPr>
                <w:rFonts w:ascii="Times New Roman" w:eastAsia="Times New Roman" w:hAnsi="Times New Roman" w:cs="Times New Roman"/>
              </w:rPr>
            </w:pPr>
          </w:p>
        </w:tc>
      </w:tr>
      <w:tr w:rsidR="00176170" w:rsidRPr="00176170" w:rsidTr="00D630B7">
        <w:trPr>
          <w:gridAfter w:val="7"/>
          <w:wAfter w:w="5088" w:type="dxa"/>
          <w:trHeight w:val="840"/>
        </w:trPr>
        <w:tc>
          <w:tcPr>
            <w:tcW w:w="4820"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r w:rsidRPr="00176170">
              <w:rPr>
                <w:rFonts w:ascii="Times New Roman" w:eastAsia="Times New Roman" w:hAnsi="Times New Roman" w:cs="Times New Roman"/>
              </w:rPr>
              <w:t>Просим Вас предоставить дополнительную информацию, которая необходима для нашего эффективного взаимодействия по электронному документообороту (ЭДО) и, естественно, не будет являться договорным условием.</w:t>
            </w: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jc w:val="both"/>
              <w:rPr>
                <w:rFonts w:ascii="Times New Roman" w:eastAsia="Times New Roman" w:hAnsi="Times New Roman" w:cs="Times New Roman"/>
              </w:rPr>
            </w:pP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Полностью Ф.И.О. отвественного сотрудника по ЭДО:______________</w:t>
            </w:r>
            <w:r w:rsidR="00D630B7">
              <w:rPr>
                <w:rFonts w:ascii="Times New Roman" w:eastAsia="Times New Roman" w:hAnsi="Times New Roman" w:cs="Times New Roman"/>
              </w:rPr>
              <w:t>________________________</w:t>
            </w: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_________________________________________________________</w:t>
            </w:r>
            <w:r w:rsidR="00D630B7">
              <w:rPr>
                <w:rFonts w:ascii="Times New Roman" w:eastAsia="Times New Roman" w:hAnsi="Times New Roman" w:cs="Times New Roman"/>
              </w:rPr>
              <w:t>____________________________</w:t>
            </w:r>
            <w:bookmarkStart w:id="0" w:name="_GoBack"/>
            <w:bookmarkEnd w:id="0"/>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Телефон __________________________________________________________________________________</w:t>
            </w: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Должность________________________________________________________________________________</w:t>
            </w:r>
          </w:p>
        </w:tc>
      </w:tr>
      <w:tr w:rsidR="00176170" w:rsidRPr="00176170" w:rsidTr="00D630B7">
        <w:trPr>
          <w:gridAfter w:val="7"/>
          <w:wAfter w:w="5088" w:type="dxa"/>
          <w:trHeight w:val="300"/>
        </w:trPr>
        <w:tc>
          <w:tcPr>
            <w:tcW w:w="4820" w:type="dxa"/>
            <w:gridSpan w:val="4"/>
            <w:vAlign w:val="center"/>
            <w:hideMark/>
          </w:tcPr>
          <w:p w:rsidR="00176170" w:rsidRPr="00176170" w:rsidRDefault="00176170" w:rsidP="00176170">
            <w:pPr>
              <w:spacing w:after="0" w:line="240" w:lineRule="auto"/>
              <w:rPr>
                <w:rFonts w:ascii="Times New Roman" w:eastAsia="Times New Roman" w:hAnsi="Times New Roman" w:cs="Times New Roman"/>
              </w:rPr>
            </w:pPr>
            <w:r w:rsidRPr="00176170">
              <w:rPr>
                <w:rFonts w:ascii="Times New Roman" w:eastAsia="Times New Roman" w:hAnsi="Times New Roman" w:cs="Times New Roman"/>
              </w:rPr>
              <w:t>e-mail____________________________________________________________________________________</w:t>
            </w:r>
          </w:p>
        </w:tc>
      </w:tr>
      <w:tr w:rsidR="00A4266D" w:rsidRPr="00176170" w:rsidTr="00D630B7">
        <w:trPr>
          <w:trHeight w:val="300"/>
        </w:trPr>
        <w:tc>
          <w:tcPr>
            <w:tcW w:w="552"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51"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3166"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23"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4515"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vAlign w:val="center"/>
            <w:hideMark/>
          </w:tcPr>
          <w:p w:rsidR="00176170" w:rsidRPr="00176170" w:rsidRDefault="00176170" w:rsidP="00176170">
            <w:pPr>
              <w:spacing w:after="0" w:line="240" w:lineRule="auto"/>
              <w:rPr>
                <w:rFonts w:ascii="Times New Roman" w:eastAsia="Times New Roman" w:hAnsi="Times New Roman" w:cs="Times New Roman"/>
              </w:rPr>
            </w:pPr>
          </w:p>
        </w:tc>
        <w:tc>
          <w:tcPr>
            <w:tcW w:w="50" w:type="dxa"/>
            <w:gridSpan w:val="2"/>
            <w:vAlign w:val="center"/>
            <w:hideMark/>
          </w:tcPr>
          <w:p w:rsidR="00176170" w:rsidRPr="00176170" w:rsidRDefault="00176170" w:rsidP="00176170">
            <w:pPr>
              <w:spacing w:after="0" w:line="240" w:lineRule="auto"/>
              <w:rPr>
                <w:rFonts w:ascii="Times New Roman" w:eastAsia="Times New Roman" w:hAnsi="Times New Roman" w:cs="Times New Roman"/>
              </w:rPr>
            </w:pPr>
          </w:p>
        </w:tc>
      </w:tr>
    </w:tbl>
    <w:p w:rsidR="00176170" w:rsidRPr="00003A60" w:rsidRDefault="00176170" w:rsidP="00C065B0">
      <w:pPr>
        <w:spacing w:after="0"/>
      </w:pPr>
    </w:p>
    <w:sectPr w:rsidR="00176170" w:rsidRPr="00003A60" w:rsidSect="00AE1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A41"/>
    <w:multiLevelType w:val="hybridMultilevel"/>
    <w:tmpl w:val="1E64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CF6D04"/>
    <w:multiLevelType w:val="hybridMultilevel"/>
    <w:tmpl w:val="EB34E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0812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DB2712"/>
    <w:multiLevelType w:val="hybridMultilevel"/>
    <w:tmpl w:val="517C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60"/>
    <w:rsid w:val="00003A60"/>
    <w:rsid w:val="00176170"/>
    <w:rsid w:val="00200CA1"/>
    <w:rsid w:val="004C5D8A"/>
    <w:rsid w:val="00A4266D"/>
    <w:rsid w:val="00AE15B2"/>
    <w:rsid w:val="00C065B0"/>
    <w:rsid w:val="00D630B7"/>
    <w:rsid w:val="00FF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8A6"/>
  <w15:docId w15:val="{AAC4207F-EB4E-48C4-9629-B3391056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5957">
      <w:bodyDiv w:val="1"/>
      <w:marLeft w:val="0"/>
      <w:marRight w:val="0"/>
      <w:marTop w:val="0"/>
      <w:marBottom w:val="0"/>
      <w:divBdr>
        <w:top w:val="none" w:sz="0" w:space="0" w:color="auto"/>
        <w:left w:val="none" w:sz="0" w:space="0" w:color="auto"/>
        <w:bottom w:val="none" w:sz="0" w:space="0" w:color="auto"/>
        <w:right w:val="none" w:sz="0" w:space="0" w:color="auto"/>
      </w:divBdr>
    </w:div>
    <w:div w:id="663046387">
      <w:bodyDiv w:val="1"/>
      <w:marLeft w:val="0"/>
      <w:marRight w:val="0"/>
      <w:marTop w:val="0"/>
      <w:marBottom w:val="0"/>
      <w:divBdr>
        <w:top w:val="none" w:sz="0" w:space="0" w:color="auto"/>
        <w:left w:val="none" w:sz="0" w:space="0" w:color="auto"/>
        <w:bottom w:val="none" w:sz="0" w:space="0" w:color="auto"/>
        <w:right w:val="none" w:sz="0" w:space="0" w:color="auto"/>
      </w:divBdr>
    </w:div>
    <w:div w:id="786244107">
      <w:bodyDiv w:val="1"/>
      <w:marLeft w:val="0"/>
      <w:marRight w:val="0"/>
      <w:marTop w:val="0"/>
      <w:marBottom w:val="0"/>
      <w:divBdr>
        <w:top w:val="none" w:sz="0" w:space="0" w:color="auto"/>
        <w:left w:val="none" w:sz="0" w:space="0" w:color="auto"/>
        <w:bottom w:val="none" w:sz="0" w:space="0" w:color="auto"/>
        <w:right w:val="none" w:sz="0" w:space="0" w:color="auto"/>
      </w:divBdr>
    </w:div>
    <w:div w:id="848985130">
      <w:bodyDiv w:val="1"/>
      <w:marLeft w:val="0"/>
      <w:marRight w:val="0"/>
      <w:marTop w:val="0"/>
      <w:marBottom w:val="0"/>
      <w:divBdr>
        <w:top w:val="none" w:sz="0" w:space="0" w:color="auto"/>
        <w:left w:val="none" w:sz="0" w:space="0" w:color="auto"/>
        <w:bottom w:val="none" w:sz="0" w:space="0" w:color="auto"/>
        <w:right w:val="none" w:sz="0" w:space="0" w:color="auto"/>
      </w:divBdr>
    </w:div>
    <w:div w:id="15354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6924-65A9-4E35-99D8-A4C9E626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inelt</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goncharevich</dc:creator>
  <cp:keywords/>
  <dc:description/>
  <cp:lastModifiedBy>Пользователь Windows</cp:lastModifiedBy>
  <cp:revision>2</cp:revision>
  <dcterms:created xsi:type="dcterms:W3CDTF">2020-11-10T11:12:00Z</dcterms:created>
  <dcterms:modified xsi:type="dcterms:W3CDTF">2020-11-10T11:12:00Z</dcterms:modified>
</cp:coreProperties>
</file>