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F3" w:rsidRPr="009D54F3" w:rsidRDefault="009D54F3" w:rsidP="009D54F3">
      <w:pPr>
        <w:suppressAutoHyphens/>
        <w:spacing w:after="0" w:line="240" w:lineRule="auto"/>
        <w:contextualSpacing/>
        <w:jc w:val="center"/>
        <w:rPr>
          <w:rFonts w:ascii="Times New Roman" w:eastAsia="Times New Roman" w:hAnsi="Times New Roman" w:cs="Times New Roman"/>
          <w:b/>
          <w:vertAlign w:val="superscript"/>
          <w:lang w:eastAsia="ar-SA"/>
        </w:rPr>
      </w:pPr>
      <w:r w:rsidRPr="009D54F3">
        <w:rPr>
          <w:rFonts w:ascii="Times New Roman" w:eastAsia="Times New Roman" w:hAnsi="Times New Roman" w:cs="Times New Roman"/>
          <w:b/>
          <w:lang w:eastAsia="ar-SA"/>
        </w:rPr>
        <w:t>ТЕХНИЧЕСКОЕ ЗАДАНИЕ</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b/>
          <w:lang w:eastAsia="ar-SA"/>
        </w:rPr>
      </w:pPr>
    </w:p>
    <w:p w:rsidR="009D54F3" w:rsidRPr="009D54F3" w:rsidRDefault="009D54F3" w:rsidP="009D54F3">
      <w:pPr>
        <w:spacing w:after="0" w:line="240" w:lineRule="auto"/>
        <w:ind w:right="-2"/>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b/>
          <w:lang w:eastAsia="ru-RU"/>
        </w:rPr>
        <w:t xml:space="preserve">1. Наименование объекта закупки: </w:t>
      </w:r>
      <w:r w:rsidRPr="009D54F3">
        <w:rPr>
          <w:rFonts w:ascii="Times New Roman" w:eastAsia="Times New Roman" w:hAnsi="Times New Roman" w:cs="Times New Roman"/>
          <w:lang w:eastAsia="ru-RU"/>
        </w:rPr>
        <w:t xml:space="preserve">Задвижка чугунная фланцевая </w:t>
      </w:r>
      <w:proofErr w:type="spellStart"/>
      <w:r w:rsidRPr="009D54F3">
        <w:rPr>
          <w:rFonts w:ascii="Times New Roman" w:eastAsia="Times New Roman" w:hAnsi="Times New Roman" w:cs="Times New Roman"/>
          <w:lang w:eastAsia="ru-RU"/>
        </w:rPr>
        <w:t>полнопроходная</w:t>
      </w:r>
      <w:proofErr w:type="spellEnd"/>
      <w:r w:rsidRPr="009D54F3">
        <w:rPr>
          <w:rFonts w:ascii="Times New Roman" w:eastAsia="Times New Roman" w:hAnsi="Times New Roman" w:cs="Times New Roman"/>
          <w:lang w:eastAsia="ru-RU"/>
        </w:rPr>
        <w:t xml:space="preserve"> с </w:t>
      </w:r>
      <w:proofErr w:type="spellStart"/>
      <w:r w:rsidRPr="009D54F3">
        <w:rPr>
          <w:rFonts w:ascii="Times New Roman" w:eastAsia="Times New Roman" w:hAnsi="Times New Roman" w:cs="Times New Roman"/>
          <w:lang w:eastAsia="ru-RU"/>
        </w:rPr>
        <w:t>невыдвижным</w:t>
      </w:r>
      <w:proofErr w:type="spellEnd"/>
      <w:r w:rsidRPr="009D54F3">
        <w:rPr>
          <w:rFonts w:ascii="Times New Roman" w:eastAsia="Times New Roman" w:hAnsi="Times New Roman" w:cs="Times New Roman"/>
          <w:lang w:eastAsia="ru-RU"/>
        </w:rPr>
        <w:t xml:space="preserve"> шпинделем и обрезиненным клином со штурвалом (далее также – товар).</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b/>
          <w:lang w:eastAsia="ar-SA"/>
        </w:rPr>
      </w:pPr>
      <w:r w:rsidRPr="009D54F3">
        <w:rPr>
          <w:rFonts w:ascii="Times New Roman" w:eastAsia="Times New Roman" w:hAnsi="Times New Roman" w:cs="Times New Roman"/>
          <w:b/>
          <w:lang w:eastAsia="ar-SA"/>
        </w:rPr>
        <w:t>2. Максимальное количество поставляемого товара:</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50                                        - 20 </w:t>
      </w:r>
      <w:proofErr w:type="spellStart"/>
      <w:r w:rsidRPr="009D54F3">
        <w:rPr>
          <w:rFonts w:ascii="Times New Roman" w:eastAsia="Calibri" w:hAnsi="Times New Roman" w:cs="Times New Roman"/>
        </w:rPr>
        <w:t>шт</w:t>
      </w:r>
      <w:proofErr w:type="spellEnd"/>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50                -20шт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80                                        - 4шт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80</w:t>
      </w:r>
      <w:r w:rsidRPr="009D54F3">
        <w:rPr>
          <w:rFonts w:ascii="Times New Roman" w:eastAsia="Calibri" w:hAnsi="Times New Roman" w:cs="Times New Roman"/>
        </w:rPr>
        <w:tab/>
        <w:t xml:space="preserve">               - 4шт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100                                      -20 </w:t>
      </w:r>
      <w:proofErr w:type="spellStart"/>
      <w:r w:rsidRPr="009D54F3">
        <w:rPr>
          <w:rFonts w:ascii="Times New Roman" w:eastAsia="Calibri" w:hAnsi="Times New Roman" w:cs="Times New Roman"/>
        </w:rPr>
        <w:t>шт</w:t>
      </w:r>
      <w:proofErr w:type="spellEnd"/>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100                -20шт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125                                      - 2 </w:t>
      </w:r>
      <w:proofErr w:type="spellStart"/>
      <w:r w:rsidRPr="009D54F3">
        <w:rPr>
          <w:rFonts w:ascii="Times New Roman" w:eastAsia="Calibri" w:hAnsi="Times New Roman" w:cs="Times New Roman"/>
        </w:rPr>
        <w:t>шт</w:t>
      </w:r>
      <w:proofErr w:type="spellEnd"/>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125               -2шт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150                                      - 3шт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150</w:t>
      </w:r>
      <w:r w:rsidRPr="009D54F3">
        <w:rPr>
          <w:rFonts w:ascii="Times New Roman" w:eastAsia="Calibri" w:hAnsi="Times New Roman" w:cs="Times New Roman"/>
        </w:rPr>
        <w:tab/>
        <w:t xml:space="preserve">                -3шт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200                                       - 2 </w:t>
      </w:r>
      <w:proofErr w:type="spellStart"/>
      <w:r w:rsidRPr="009D54F3">
        <w:rPr>
          <w:rFonts w:ascii="Times New Roman" w:eastAsia="Calibri" w:hAnsi="Times New Roman" w:cs="Times New Roman"/>
        </w:rPr>
        <w:t>шт</w:t>
      </w:r>
      <w:proofErr w:type="spellEnd"/>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150                 -2шт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250                                       - 1 </w:t>
      </w:r>
      <w:proofErr w:type="spellStart"/>
      <w:r w:rsidRPr="009D54F3">
        <w:rPr>
          <w:rFonts w:ascii="Times New Roman" w:eastAsia="Calibri" w:hAnsi="Times New Roman" w:cs="Times New Roman"/>
        </w:rPr>
        <w:t>шт</w:t>
      </w:r>
      <w:proofErr w:type="spellEnd"/>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250                -1шт</w:t>
      </w:r>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Задвижка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300                                        - 1 </w:t>
      </w:r>
      <w:proofErr w:type="spellStart"/>
      <w:r w:rsidRPr="009D54F3">
        <w:rPr>
          <w:rFonts w:ascii="Times New Roman" w:eastAsia="Calibri" w:hAnsi="Times New Roman" w:cs="Times New Roman"/>
        </w:rPr>
        <w:t>шт</w:t>
      </w:r>
      <w:proofErr w:type="spellEnd"/>
    </w:p>
    <w:p w:rsidR="009D54F3" w:rsidRPr="009D54F3" w:rsidRDefault="009D54F3" w:rsidP="009D54F3">
      <w:pPr>
        <w:tabs>
          <w:tab w:val="left" w:pos="284"/>
          <w:tab w:val="left" w:pos="567"/>
        </w:tabs>
        <w:spacing w:after="0" w:line="240" w:lineRule="auto"/>
        <w:ind w:left="720"/>
        <w:contextualSpacing/>
        <w:jc w:val="both"/>
        <w:rPr>
          <w:rFonts w:ascii="Times New Roman" w:eastAsia="Calibri" w:hAnsi="Times New Roman" w:cs="Times New Roman"/>
        </w:rPr>
      </w:pPr>
      <w:r w:rsidRPr="009D54F3">
        <w:rPr>
          <w:rFonts w:ascii="Times New Roman" w:eastAsia="Calibri" w:hAnsi="Times New Roman" w:cs="Times New Roman"/>
        </w:rPr>
        <w:t xml:space="preserve">штурвал для задвижки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300</w:t>
      </w:r>
      <w:r w:rsidRPr="009D54F3">
        <w:rPr>
          <w:rFonts w:ascii="Times New Roman" w:eastAsia="Calibri" w:hAnsi="Times New Roman" w:cs="Times New Roman"/>
        </w:rPr>
        <w:tab/>
        <w:t xml:space="preserve">    -1шт</w:t>
      </w:r>
    </w:p>
    <w:p w:rsidR="009D54F3" w:rsidRPr="009D54F3" w:rsidRDefault="009D54F3" w:rsidP="009D54F3">
      <w:pPr>
        <w:tabs>
          <w:tab w:val="left" w:pos="284"/>
          <w:tab w:val="left" w:pos="567"/>
        </w:tabs>
        <w:spacing w:after="0" w:line="240" w:lineRule="auto"/>
        <w:contextualSpacing/>
        <w:jc w:val="both"/>
        <w:rPr>
          <w:rFonts w:ascii="Times New Roman" w:eastAsia="Calibri" w:hAnsi="Times New Roman" w:cs="Times New Roman"/>
          <w:b/>
        </w:rPr>
      </w:pPr>
      <w:r w:rsidRPr="009D54F3">
        <w:rPr>
          <w:rFonts w:ascii="Times New Roman" w:eastAsia="Calibri" w:hAnsi="Times New Roman" w:cs="Times New Roman"/>
          <w:b/>
        </w:rPr>
        <w:t xml:space="preserve">3.  Начальная (максимальная) цена договора: </w:t>
      </w:r>
      <w:r w:rsidRPr="009D54F3">
        <w:rPr>
          <w:rFonts w:ascii="Times New Roman" w:eastAsia="Calibri" w:hAnsi="Times New Roman" w:cs="Times New Roman"/>
        </w:rPr>
        <w:t>Начальная (максимальная) цена договора составляет 979 213 (девятьсот семьдесят девять тысяч двести тринадцать) руб. 22 коп., в том числе НДС 20%.</w:t>
      </w:r>
    </w:p>
    <w:p w:rsidR="009D54F3" w:rsidRPr="009D54F3" w:rsidRDefault="009D54F3" w:rsidP="009D54F3">
      <w:pPr>
        <w:widowControl w:val="0"/>
        <w:spacing w:after="0" w:line="240" w:lineRule="auto"/>
        <w:ind w:right="-2"/>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9D54F3" w:rsidRPr="009D54F3" w:rsidRDefault="009D54F3" w:rsidP="009D54F3">
      <w:pPr>
        <w:widowControl w:val="0"/>
        <w:tabs>
          <w:tab w:val="center" w:pos="9639"/>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9D54F3" w:rsidRPr="009D54F3" w:rsidRDefault="009D54F3" w:rsidP="009D54F3">
      <w:pPr>
        <w:widowControl w:val="0"/>
        <w:tabs>
          <w:tab w:val="center" w:pos="9639"/>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b/>
          <w:lang w:eastAsia="ru-RU"/>
        </w:rPr>
        <w:t xml:space="preserve">4. Назначение товара: </w:t>
      </w:r>
      <w:r w:rsidRPr="009D54F3">
        <w:rPr>
          <w:rFonts w:ascii="Times New Roman" w:eastAsia="Times New Roman" w:hAnsi="Times New Roman" w:cs="Times New Roman"/>
          <w:lang w:eastAsia="ru-RU"/>
        </w:rPr>
        <w:t>Запорная арматура для систем холодного водоснабжения</w:t>
      </w:r>
    </w:p>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b/>
          <w:lang w:eastAsia="ru-RU"/>
        </w:rPr>
        <w:t>5. Требования к функциональным, техническим, качественным и количественным характеристикам товара:</w:t>
      </w:r>
    </w:p>
    <w:p w:rsidR="009D54F3" w:rsidRPr="009D54F3" w:rsidRDefault="009D54F3" w:rsidP="009D54F3">
      <w:pPr>
        <w:tabs>
          <w:tab w:val="left" w:pos="142"/>
          <w:tab w:val="left" w:pos="284"/>
          <w:tab w:val="left" w:pos="426"/>
        </w:tabs>
        <w:snapToGrid w:val="0"/>
        <w:spacing w:after="0" w:line="240" w:lineRule="auto"/>
        <w:contextualSpacing/>
        <w:jc w:val="both"/>
        <w:rPr>
          <w:rFonts w:ascii="Times New Roman" w:eastAsia="Calibri" w:hAnsi="Times New Roman" w:cs="Times New Roman"/>
          <w:b/>
        </w:rPr>
      </w:pPr>
      <w:r w:rsidRPr="009D54F3">
        <w:rPr>
          <w:rFonts w:ascii="Times New Roman" w:eastAsia="Calibri" w:hAnsi="Times New Roman" w:cs="Times New Roman"/>
        </w:rPr>
        <w:t xml:space="preserve">Товар состоит из клиновых задвижек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50,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80,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100,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125,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150,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200,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250, </w:t>
      </w:r>
      <w:proofErr w:type="spellStart"/>
      <w:r w:rsidRPr="009D54F3">
        <w:rPr>
          <w:rFonts w:ascii="Times New Roman" w:eastAsia="Calibri" w:hAnsi="Times New Roman" w:cs="Times New Roman"/>
          <w:lang w:val="en-US"/>
        </w:rPr>
        <w:t>dn</w:t>
      </w:r>
      <w:proofErr w:type="spellEnd"/>
      <w:r w:rsidRPr="009D54F3">
        <w:rPr>
          <w:rFonts w:ascii="Times New Roman" w:eastAsia="Calibri" w:hAnsi="Times New Roman" w:cs="Times New Roman"/>
        </w:rPr>
        <w:t xml:space="preserve"> 300 со штурвалами.</w:t>
      </w:r>
    </w:p>
    <w:tbl>
      <w:tblPr>
        <w:tblW w:w="10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00"/>
        <w:gridCol w:w="1965"/>
        <w:gridCol w:w="2312"/>
        <w:gridCol w:w="2491"/>
        <w:gridCol w:w="2219"/>
        <w:gridCol w:w="709"/>
        <w:gridCol w:w="590"/>
        <w:gridCol w:w="8"/>
      </w:tblGrid>
      <w:tr w:rsidR="009D54F3" w:rsidRPr="009D54F3" w:rsidTr="00C97E1E">
        <w:trPr>
          <w:trHeight w:val="470"/>
          <w:jc w:val="center"/>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hd w:val="clear" w:color="auto" w:fill="FFFFFF"/>
              <w:suppressAutoHyphens/>
              <w:spacing w:after="0" w:line="240" w:lineRule="auto"/>
              <w:contextualSpacing/>
              <w:jc w:val="center"/>
              <w:rPr>
                <w:rFonts w:ascii="Times New Roman" w:eastAsia="Times New Roman" w:hAnsi="Times New Roman" w:cs="Times New Roman"/>
                <w:spacing w:val="-6"/>
                <w:lang w:eastAsia="ar-SA"/>
              </w:rPr>
            </w:pPr>
            <w:r w:rsidRPr="009D54F3">
              <w:rPr>
                <w:rFonts w:ascii="Times New Roman" w:eastAsia="Times New Roman" w:hAnsi="Times New Roman" w:cs="Times New Roman"/>
                <w:spacing w:val="-6"/>
                <w:lang w:eastAsia="ar-SA"/>
              </w:rPr>
              <w:t>№ 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hd w:val="clear" w:color="auto" w:fill="FFFFFF"/>
              <w:suppressAutoHyphens/>
              <w:spacing w:after="0" w:line="240" w:lineRule="auto"/>
              <w:contextualSpacing/>
              <w:jc w:val="center"/>
              <w:rPr>
                <w:rFonts w:ascii="Times New Roman" w:eastAsia="Times New Roman" w:hAnsi="Times New Roman" w:cs="Times New Roman"/>
                <w:lang w:eastAsia="ar-SA"/>
              </w:rPr>
            </w:pPr>
            <w:r w:rsidRPr="009D54F3">
              <w:rPr>
                <w:rFonts w:ascii="Times New Roman" w:eastAsia="Times New Roman" w:hAnsi="Times New Roman" w:cs="Times New Roman"/>
                <w:spacing w:val="-6"/>
                <w:lang w:eastAsia="ar-SA"/>
              </w:rPr>
              <w:t>Наименование товара</w:t>
            </w:r>
          </w:p>
        </w:tc>
        <w:tc>
          <w:tcPr>
            <w:tcW w:w="70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hd w:val="clear" w:color="auto" w:fill="FFFFFF"/>
              <w:suppressAutoHyphens/>
              <w:spacing w:after="0" w:line="240" w:lineRule="auto"/>
              <w:ind w:left="-34"/>
              <w:contextualSpacing/>
              <w:jc w:val="center"/>
              <w:rPr>
                <w:rFonts w:ascii="Times New Roman" w:eastAsia="Times New Roman" w:hAnsi="Times New Roman" w:cs="Times New Roman"/>
                <w:spacing w:val="-3"/>
                <w:lang w:eastAsia="ar-SA"/>
              </w:rPr>
            </w:pPr>
            <w:r w:rsidRPr="009D54F3">
              <w:rPr>
                <w:rFonts w:ascii="Times New Roman" w:eastAsia="Times New Roman" w:hAnsi="Times New Roman" w:cs="Times New Roman"/>
                <w:spacing w:val="-3"/>
                <w:lang w:eastAsia="ar-SA"/>
              </w:rPr>
              <w:t>Функциональные, технические и качественные характеристики товара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hd w:val="clear" w:color="auto" w:fill="FFFFFF"/>
              <w:suppressAutoHyphens/>
              <w:spacing w:after="0" w:line="240" w:lineRule="auto"/>
              <w:ind w:left="-34"/>
              <w:contextualSpacing/>
              <w:jc w:val="center"/>
              <w:rPr>
                <w:rFonts w:ascii="Times New Roman" w:eastAsia="Times New Roman" w:hAnsi="Times New Roman" w:cs="Times New Roman"/>
                <w:spacing w:val="-3"/>
                <w:lang w:eastAsia="ar-SA"/>
              </w:rPr>
            </w:pPr>
            <w:r w:rsidRPr="009D54F3">
              <w:rPr>
                <w:rFonts w:ascii="Times New Roman" w:eastAsia="Times New Roman" w:hAnsi="Times New Roman" w:cs="Times New Roman"/>
                <w:spacing w:val="-3"/>
                <w:lang w:eastAsia="ar-SA"/>
              </w:rPr>
              <w:t>Ед. изм.</w:t>
            </w:r>
          </w:p>
        </w:tc>
        <w:tc>
          <w:tcPr>
            <w:tcW w:w="59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hd w:val="clear" w:color="auto" w:fill="FFFFFF"/>
              <w:suppressAutoHyphens/>
              <w:spacing w:after="0" w:line="240" w:lineRule="auto"/>
              <w:ind w:left="-34"/>
              <w:contextualSpacing/>
              <w:jc w:val="center"/>
              <w:rPr>
                <w:rFonts w:ascii="Times New Roman" w:eastAsia="Times New Roman" w:hAnsi="Times New Roman" w:cs="Times New Roman"/>
                <w:spacing w:val="-3"/>
                <w:lang w:eastAsia="ar-SA"/>
              </w:rPr>
            </w:pPr>
            <w:r w:rsidRPr="009D54F3">
              <w:rPr>
                <w:rFonts w:ascii="Times New Roman" w:eastAsia="Times New Roman" w:hAnsi="Times New Roman" w:cs="Times New Roman"/>
                <w:spacing w:val="-3"/>
                <w:lang w:eastAsia="ar-SA"/>
              </w:rPr>
              <w:t>Кол.</w:t>
            </w:r>
          </w:p>
        </w:tc>
      </w:tr>
      <w:tr w:rsidR="009D54F3" w:rsidRPr="009D54F3" w:rsidTr="00C97E1E">
        <w:trPr>
          <w:trHeight w:val="217"/>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spacing w:val="-6"/>
                <w:lang w:eastAsia="ar-SA"/>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231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hd w:val="clear" w:color="auto" w:fill="FFFFFF"/>
              <w:suppressAutoHyphens/>
              <w:spacing w:after="0" w:line="240" w:lineRule="auto"/>
              <w:ind w:left="-34"/>
              <w:contextualSpacing/>
              <w:jc w:val="center"/>
              <w:rPr>
                <w:rFonts w:ascii="Times New Roman" w:eastAsia="Times New Roman" w:hAnsi="Times New Roman" w:cs="Times New Roman"/>
                <w:spacing w:val="-3"/>
                <w:lang w:eastAsia="ar-SA"/>
              </w:rPr>
            </w:pPr>
            <w:r w:rsidRPr="009D54F3">
              <w:rPr>
                <w:rFonts w:ascii="Times New Roman" w:eastAsia="Times New Roman" w:hAnsi="Times New Roman" w:cs="Times New Roman"/>
                <w:spacing w:val="-3"/>
                <w:lang w:eastAsia="ar-SA"/>
              </w:rPr>
              <w:t>Показатель (наименование характеристики)</w:t>
            </w:r>
          </w:p>
        </w:tc>
        <w:tc>
          <w:tcPr>
            <w:tcW w:w="47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hd w:val="clear" w:color="auto" w:fill="FFFFFF"/>
              <w:suppressAutoHyphens/>
              <w:spacing w:after="0" w:line="240" w:lineRule="auto"/>
              <w:ind w:left="-34"/>
              <w:contextualSpacing/>
              <w:jc w:val="center"/>
              <w:rPr>
                <w:rFonts w:ascii="Times New Roman" w:eastAsia="Times New Roman" w:hAnsi="Times New Roman" w:cs="Times New Roman"/>
                <w:spacing w:val="-3"/>
                <w:lang w:eastAsia="ar-SA"/>
              </w:rPr>
            </w:pPr>
            <w:r w:rsidRPr="009D54F3">
              <w:rPr>
                <w:rFonts w:ascii="Times New Roman" w:eastAsia="Times New Roman" w:hAnsi="Times New Roman" w:cs="Times New Roman"/>
                <w:spacing w:val="-3"/>
                <w:lang w:eastAsia="ar-SA"/>
              </w:rPr>
              <w:t>Значение</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spacing w:val="-3"/>
                <w:lang w:eastAsia="ar-SA"/>
              </w:rPr>
            </w:pPr>
          </w:p>
        </w:tc>
        <w:tc>
          <w:tcPr>
            <w:tcW w:w="5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spacing w:val="-3"/>
                <w:lang w:eastAsia="ar-SA"/>
              </w:rPr>
            </w:pPr>
          </w:p>
        </w:tc>
      </w:tr>
      <w:tr w:rsidR="009D54F3" w:rsidRPr="009D54F3" w:rsidTr="00C97E1E">
        <w:trPr>
          <w:gridAfter w:val="1"/>
          <w:wAfter w:w="8" w:type="dxa"/>
          <w:trHeight w:val="838"/>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spacing w:val="-6"/>
                <w:lang w:eastAsia="ar-SA"/>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2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center"/>
              <w:rPr>
                <w:rFonts w:ascii="Times New Roman" w:eastAsia="Times New Roman" w:hAnsi="Times New Roman" w:cs="Times New Roman"/>
                <w:spacing w:val="-3"/>
                <w:lang w:eastAsia="ar-SA"/>
              </w:rPr>
            </w:pP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center"/>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Максимальные и (или) минимальные показатели объекта закупки</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center"/>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Показатели, которые не могут изменяться</w:t>
            </w:r>
          </w:p>
          <w:p w:rsidR="009D54F3" w:rsidRPr="009D54F3" w:rsidRDefault="009D54F3" w:rsidP="009D54F3">
            <w:pPr>
              <w:suppressAutoHyphens/>
              <w:spacing w:after="0" w:line="240" w:lineRule="auto"/>
              <w:contextualSpacing/>
              <w:jc w:val="center"/>
              <w:rPr>
                <w:rFonts w:ascii="Times New Roman" w:eastAsia="Times New Roman" w:hAnsi="Times New Roman" w:cs="Times New Roman"/>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spacing w:val="-3"/>
                <w:lang w:eastAsia="ar-SA"/>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spacing w:val="-3"/>
                <w:lang w:eastAsia="ar-SA"/>
              </w:rPr>
            </w:pPr>
          </w:p>
        </w:tc>
      </w:tr>
      <w:tr w:rsidR="009D54F3" w:rsidRPr="009D54F3" w:rsidTr="00C97E1E">
        <w:trPr>
          <w:gridAfter w:val="1"/>
          <w:wAfter w:w="8" w:type="dxa"/>
          <w:trHeight w:val="411"/>
          <w:jc w:val="center"/>
        </w:trPr>
        <w:tc>
          <w:tcPr>
            <w:tcW w:w="400"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Задвижка чугунная фланцевая </w:t>
            </w:r>
            <w:proofErr w:type="spellStart"/>
            <w:r w:rsidRPr="009D54F3">
              <w:rPr>
                <w:rFonts w:ascii="Times New Roman" w:eastAsia="Times New Roman" w:hAnsi="Times New Roman" w:cs="Times New Roman"/>
                <w:color w:val="000000"/>
                <w:lang w:eastAsia="ar-SA"/>
              </w:rPr>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50 </w:t>
            </w: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16</w:t>
            </w:r>
          </w:p>
        </w:tc>
        <w:tc>
          <w:tcPr>
            <w:tcW w:w="2312" w:type="dxa"/>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Материал корпуса и крышки</w:t>
            </w:r>
          </w:p>
        </w:tc>
        <w:tc>
          <w:tcPr>
            <w:tcW w:w="2491" w:type="dxa"/>
            <w:tcBorders>
              <w:top w:val="single" w:sz="4" w:space="0" w:color="000000"/>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20</w:t>
            </w:r>
          </w:p>
        </w:tc>
      </w:tr>
      <w:tr w:rsidR="009D54F3" w:rsidRPr="009D54F3" w:rsidTr="00C97E1E">
        <w:trPr>
          <w:gridAfter w:val="1"/>
          <w:wAfter w:w="8" w:type="dxa"/>
          <w:trHeight w:val="417"/>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auto"/>
              <w:left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17"/>
          <w:jc w:val="center"/>
        </w:trPr>
        <w:tc>
          <w:tcPr>
            <w:tcW w:w="400" w:type="dxa"/>
            <w:vMerge/>
            <w:tcBorders>
              <w:left w:val="single" w:sz="4" w:space="0" w:color="000000"/>
              <w:bottom w:val="nil"/>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При полном открытии клина должно быть полное проходное сечение задвижки.</w:t>
            </w: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60"/>
          <w:jc w:val="center"/>
        </w:trPr>
        <w:tc>
          <w:tcPr>
            <w:tcW w:w="40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150+</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75"/>
          <w:jc w:val="center"/>
        </w:trPr>
        <w:tc>
          <w:tcPr>
            <w:tcW w:w="40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9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top w:val="nil"/>
              <w:left w:val="single" w:sz="4" w:space="0" w:color="000000"/>
              <w:bottom w:val="nil"/>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val="restart"/>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val="en-US"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60"/>
          <w:jc w:val="center"/>
        </w:trPr>
        <w:tc>
          <w:tcPr>
            <w:tcW w:w="40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315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top w:val="nil"/>
              <w:left w:val="single" w:sz="4" w:space="0" w:color="000000"/>
              <w:bottom w:val="nil"/>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top w:val="nil"/>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tcBorders>
              <w:top w:val="nil"/>
              <w:left w:val="single" w:sz="4" w:space="0" w:color="000000"/>
              <w:bottom w:val="nil"/>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top w:val="nil"/>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2</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val="en-US" w:eastAsia="ar-SA"/>
              </w:rPr>
            </w:pPr>
            <w:r w:rsidRPr="009D54F3">
              <w:rPr>
                <w:rFonts w:ascii="Times New Roman" w:eastAsia="Times New Roman" w:hAnsi="Times New Roman" w:cs="Times New Roman"/>
                <w:color w:val="000000"/>
                <w:lang w:eastAsia="ar-SA"/>
              </w:rPr>
              <w:t xml:space="preserve">Штурвал для задвижки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val="en-US" w:eastAsia="ar-SA"/>
              </w:rPr>
              <w:t xml:space="preserve"> 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20</w:t>
            </w:r>
          </w:p>
        </w:tc>
      </w:tr>
      <w:tr w:rsidR="009D54F3" w:rsidRPr="009D54F3" w:rsidTr="00C97E1E">
        <w:trPr>
          <w:gridAfter w:val="1"/>
          <w:wAfter w:w="8" w:type="dxa"/>
          <w:trHeight w:val="267"/>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160мм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3</w:t>
            </w:r>
          </w:p>
        </w:tc>
        <w:tc>
          <w:tcPr>
            <w:tcW w:w="1965" w:type="dxa"/>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ind w:left="-62"/>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Задвижка чугунная фланцевая </w:t>
            </w:r>
            <w:proofErr w:type="spellStart"/>
            <w:r w:rsidRPr="009D54F3">
              <w:rPr>
                <w:rFonts w:ascii="Times New Roman" w:eastAsia="Times New Roman" w:hAnsi="Times New Roman" w:cs="Times New Roman"/>
                <w:color w:val="000000"/>
                <w:lang w:eastAsia="ar-SA"/>
              </w:rPr>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и 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80 </w:t>
            </w: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4</w:t>
            </w: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35"/>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180+</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3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11,5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43"/>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386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722"/>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vMerge/>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276"/>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4</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val="en-US" w:eastAsia="ar-SA"/>
              </w:rPr>
            </w:pPr>
            <w:r w:rsidRPr="009D54F3">
              <w:rPr>
                <w:rFonts w:ascii="Times New Roman" w:eastAsia="Times New Roman" w:hAnsi="Times New Roman" w:cs="Times New Roman"/>
                <w:color w:val="000000"/>
                <w:lang w:eastAsia="ar-SA"/>
              </w:rPr>
              <w:t xml:space="preserve">Штурвал для задвижки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8</w:t>
            </w:r>
            <w:r w:rsidRPr="009D54F3">
              <w:rPr>
                <w:rFonts w:ascii="Times New Roman" w:eastAsia="Times New Roman" w:hAnsi="Times New Roman" w:cs="Times New Roman"/>
                <w:color w:val="000000"/>
                <w:lang w:val="en-US" w:eastAsia="ar-SA"/>
              </w:rPr>
              <w:t>0</w:t>
            </w:r>
          </w:p>
        </w:tc>
        <w:tc>
          <w:tcPr>
            <w:tcW w:w="2312" w:type="dxa"/>
            <w:vMerge w:val="restart"/>
            <w:tcBorders>
              <w:top w:val="single" w:sz="4" w:space="0" w:color="000000"/>
              <w:left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vMerge w:val="restart"/>
            <w:tcBorders>
              <w:top w:val="single" w:sz="4" w:space="0" w:color="000000"/>
              <w:left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bottom w:val="single" w:sz="4" w:space="0" w:color="auto"/>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top w:val="single" w:sz="4" w:space="0" w:color="auto"/>
              <w:left w:val="single" w:sz="4" w:space="0" w:color="auto"/>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14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vMerge/>
            <w:tcBorders>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491" w:type="dxa"/>
            <w:vMerge/>
            <w:tcBorders>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top w:val="single" w:sz="4" w:space="0" w:color="auto"/>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top w:val="single" w:sz="4" w:space="0" w:color="auto"/>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4</w:t>
            </w:r>
          </w:p>
        </w:tc>
      </w:tr>
      <w:tr w:rsidR="009D54F3" w:rsidRPr="009D54F3" w:rsidTr="00C97E1E">
        <w:trPr>
          <w:gridAfter w:val="1"/>
          <w:wAfter w:w="8" w:type="dxa"/>
          <w:trHeight w:val="205"/>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190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5</w:t>
            </w:r>
          </w:p>
        </w:tc>
        <w:tc>
          <w:tcPr>
            <w:tcW w:w="1965" w:type="dxa"/>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Задвижка чугунная фланцевая </w:t>
            </w:r>
            <w:proofErr w:type="spellStart"/>
            <w:r w:rsidRPr="009D54F3">
              <w:rPr>
                <w:rFonts w:ascii="Times New Roman" w:eastAsia="Times New Roman" w:hAnsi="Times New Roman" w:cs="Times New Roman"/>
                <w:color w:val="000000"/>
                <w:lang w:eastAsia="ar-SA"/>
              </w:rPr>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и 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100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20</w:t>
            </w:r>
          </w:p>
        </w:tc>
      </w:tr>
      <w:tr w:rsidR="009D54F3" w:rsidRPr="009D54F3" w:rsidTr="00C97E1E">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bottom w:val="single" w:sz="4" w:space="0" w:color="auto"/>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val="restart"/>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92"/>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190+</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81"/>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15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95"/>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427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top w:val="nil"/>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vMerge/>
            <w:tcBorders>
              <w:left w:val="single" w:sz="4" w:space="0" w:color="000000"/>
              <w:bottom w:val="single" w:sz="4" w:space="0" w:color="auto"/>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top w:val="nil"/>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314"/>
          <w:jc w:val="center"/>
        </w:trPr>
        <w:tc>
          <w:tcPr>
            <w:tcW w:w="400" w:type="dxa"/>
            <w:vMerge w:val="restart"/>
            <w:tcBorders>
              <w:top w:val="single" w:sz="4" w:space="0" w:color="auto"/>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6</w:t>
            </w:r>
          </w:p>
        </w:tc>
        <w:tc>
          <w:tcPr>
            <w:tcW w:w="1965" w:type="dxa"/>
            <w:vMerge w:val="restart"/>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val="en-US" w:eastAsia="ar-SA"/>
              </w:rPr>
            </w:pPr>
            <w:r w:rsidRPr="009D54F3">
              <w:rPr>
                <w:rFonts w:ascii="Times New Roman" w:eastAsia="Times New Roman" w:hAnsi="Times New Roman" w:cs="Times New Roman"/>
                <w:color w:val="000000"/>
                <w:lang w:eastAsia="ar-SA"/>
              </w:rPr>
              <w:t xml:space="preserve">Штурвал для задвижки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10</w:t>
            </w:r>
            <w:r w:rsidRPr="009D54F3">
              <w:rPr>
                <w:rFonts w:ascii="Times New Roman" w:eastAsia="Times New Roman" w:hAnsi="Times New Roman" w:cs="Times New Roman"/>
                <w:color w:val="000000"/>
                <w:lang w:val="en-US" w:eastAsia="ar-SA"/>
              </w:rPr>
              <w:t>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20</w:t>
            </w:r>
          </w:p>
        </w:tc>
      </w:tr>
      <w:tr w:rsidR="009D54F3" w:rsidRPr="009D54F3" w:rsidTr="00C97E1E">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240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7</w:t>
            </w:r>
          </w:p>
        </w:tc>
        <w:tc>
          <w:tcPr>
            <w:tcW w:w="1965" w:type="dxa"/>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Задвижка чугунная фланцевая </w:t>
            </w:r>
            <w:proofErr w:type="spellStart"/>
            <w:r w:rsidRPr="009D54F3">
              <w:rPr>
                <w:rFonts w:ascii="Times New Roman" w:eastAsia="Times New Roman" w:hAnsi="Times New Roman" w:cs="Times New Roman"/>
                <w:color w:val="000000"/>
                <w:lang w:eastAsia="ar-SA"/>
              </w:rPr>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и </w:t>
            </w:r>
            <w:r w:rsidRPr="009D54F3">
              <w:rPr>
                <w:rFonts w:ascii="Times New Roman" w:eastAsia="Times New Roman" w:hAnsi="Times New Roman" w:cs="Times New Roman"/>
                <w:color w:val="000000"/>
                <w:lang w:eastAsia="ar-SA"/>
              </w:rPr>
              <w:lastRenderedPageBreak/>
              <w:t xml:space="preserve">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125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lastRenderedPageBreak/>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 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w:t>
            </w: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Не менее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При полном открытии клина должно быть полное проходное сечение задвижки.</w:t>
            </w: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214"/>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200+</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217"/>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20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66"/>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485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8</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Штурвал для задвижки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125</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w:t>
            </w:r>
          </w:p>
        </w:tc>
      </w:tr>
      <w:tr w:rsidR="009D54F3" w:rsidRPr="009D54F3" w:rsidTr="00C97E1E">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nil"/>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320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9</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10</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lastRenderedPageBreak/>
              <w:t xml:space="preserve">Задвижка чугунная фланцевая </w:t>
            </w:r>
            <w:proofErr w:type="spellStart"/>
            <w:r w:rsidRPr="009D54F3">
              <w:rPr>
                <w:rFonts w:ascii="Times New Roman" w:eastAsia="Times New Roman" w:hAnsi="Times New Roman" w:cs="Times New Roman"/>
                <w:color w:val="000000"/>
                <w:lang w:eastAsia="ar-SA"/>
              </w:rPr>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и 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150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16</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Не менее 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3</w:t>
            </w: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bottom w:val="single" w:sz="4" w:space="0" w:color="auto"/>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w:t>
            </w:r>
            <w:r w:rsidRPr="009D54F3">
              <w:rPr>
                <w:rFonts w:ascii="Times New Roman" w:eastAsia="Times New Roman" w:hAnsi="Times New Roman" w:cs="Times New Roman"/>
                <w:lang w:eastAsia="ru-RU"/>
              </w:rPr>
              <w:lastRenderedPageBreak/>
              <w:t xml:space="preserve">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lastRenderedPageBreak/>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230"/>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210+</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77"/>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26,5 кг</w:t>
            </w:r>
          </w:p>
        </w:tc>
        <w:tc>
          <w:tcPr>
            <w:tcW w:w="221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552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vMerge/>
            <w:tcBorders>
              <w:left w:val="single" w:sz="4" w:space="0" w:color="000000"/>
              <w:bottom w:val="single" w:sz="4" w:space="0" w:color="auto"/>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val="en-US" w:eastAsia="ar-SA"/>
              </w:rPr>
              <w:t>Штурвал</w:t>
            </w:r>
            <w:proofErr w:type="spellEnd"/>
            <w:r w:rsidRPr="009D54F3">
              <w:rPr>
                <w:rFonts w:ascii="Times New Roman" w:eastAsia="Times New Roman" w:hAnsi="Times New Roman" w:cs="Times New Roman"/>
                <w:color w:val="000000"/>
                <w:lang w:val="en-US" w:eastAsia="ar-SA"/>
              </w:rPr>
              <w:t xml:space="preserve"> </w:t>
            </w:r>
            <w:proofErr w:type="spellStart"/>
            <w:r w:rsidRPr="009D54F3">
              <w:rPr>
                <w:rFonts w:ascii="Times New Roman" w:eastAsia="Times New Roman" w:hAnsi="Times New Roman" w:cs="Times New Roman"/>
                <w:color w:val="000000"/>
                <w:lang w:val="en-US" w:eastAsia="ar-SA"/>
              </w:rPr>
              <w:t>для</w:t>
            </w:r>
            <w:proofErr w:type="spellEnd"/>
            <w:r w:rsidRPr="009D54F3">
              <w:rPr>
                <w:rFonts w:ascii="Times New Roman" w:eastAsia="Times New Roman" w:hAnsi="Times New Roman" w:cs="Times New Roman"/>
                <w:color w:val="000000"/>
                <w:lang w:val="en-US" w:eastAsia="ar-SA"/>
              </w:rPr>
              <w:t xml:space="preserve"> </w:t>
            </w:r>
            <w:proofErr w:type="spellStart"/>
            <w:r w:rsidRPr="009D54F3">
              <w:rPr>
                <w:rFonts w:ascii="Times New Roman" w:eastAsia="Times New Roman" w:hAnsi="Times New Roman" w:cs="Times New Roman"/>
                <w:color w:val="000000"/>
                <w:lang w:val="en-US" w:eastAsia="ar-SA"/>
              </w:rPr>
              <w:t>задвижки</w:t>
            </w:r>
            <w:proofErr w:type="spellEnd"/>
            <w:r w:rsidRPr="009D54F3">
              <w:rPr>
                <w:rFonts w:ascii="Times New Roman" w:eastAsia="Times New Roman" w:hAnsi="Times New Roman" w:cs="Times New Roman"/>
                <w:color w:val="000000"/>
                <w:lang w:val="en-US" w:eastAsia="ar-SA"/>
              </w:rPr>
              <w:t xml:space="preserve">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150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val="restart"/>
            <w:tcBorders>
              <w:top w:val="single" w:sz="4" w:space="0" w:color="auto"/>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3</w:t>
            </w:r>
          </w:p>
        </w:tc>
      </w:tr>
      <w:tr w:rsidR="009D54F3" w:rsidRPr="009D54F3" w:rsidTr="00C97E1E">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320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297"/>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11</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Задвижка чугунная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фланцевая </w:t>
            </w:r>
            <w:proofErr w:type="spellStart"/>
            <w:r w:rsidRPr="009D54F3">
              <w:rPr>
                <w:rFonts w:ascii="Times New Roman" w:eastAsia="Times New Roman" w:hAnsi="Times New Roman" w:cs="Times New Roman"/>
                <w:color w:val="000000"/>
                <w:lang w:eastAsia="ar-SA"/>
              </w:rPr>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и 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200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 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w:t>
            </w: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bottom w:val="single" w:sz="4" w:space="0" w:color="auto"/>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При полном открытии клина должно быть полное проходное сечение задвижки.</w:t>
            </w:r>
          </w:p>
        </w:tc>
        <w:tc>
          <w:tcPr>
            <w:tcW w:w="709" w:type="dxa"/>
            <w:vMerge w:val="restart"/>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20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val="en-US" w:eastAsia="ru-RU"/>
              </w:rPr>
              <w:t>230</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9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41,2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203"/>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679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vMerge/>
            <w:tcBorders>
              <w:left w:val="single" w:sz="4" w:space="0" w:color="000000"/>
              <w:bottom w:val="single" w:sz="4" w:space="0" w:color="auto"/>
              <w:right w:val="single" w:sz="4" w:space="0" w:color="000000"/>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top w:val="single" w:sz="4" w:space="0" w:color="auto"/>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12</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val="en-US" w:eastAsia="ar-SA"/>
              </w:rPr>
            </w:pPr>
            <w:r w:rsidRPr="009D54F3">
              <w:rPr>
                <w:rFonts w:ascii="Times New Roman" w:eastAsia="Times New Roman" w:hAnsi="Times New Roman" w:cs="Times New Roman"/>
                <w:color w:val="000000"/>
                <w:lang w:eastAsia="ar-SA"/>
              </w:rPr>
              <w:t xml:space="preserve">Штурвал для задвижки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val="en-US" w:eastAsia="ar-SA"/>
              </w:rPr>
              <w:t xml:space="preserve"> 200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val="restart"/>
            <w:tcBorders>
              <w:top w:val="single" w:sz="4" w:space="0" w:color="auto"/>
              <w:left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2</w:t>
            </w:r>
          </w:p>
        </w:tc>
      </w:tr>
      <w:tr w:rsidR="009D54F3" w:rsidRPr="009D54F3" w:rsidTr="00C97E1E">
        <w:trPr>
          <w:gridAfter w:val="1"/>
          <w:wAfter w:w="8" w:type="dxa"/>
          <w:trHeight w:val="72"/>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360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bottom w:val="single" w:sz="4" w:space="0" w:color="auto"/>
              <w:right w:val="single" w:sz="4" w:space="0" w:color="auto"/>
            </w:tcBorders>
            <w:shd w:val="clear" w:color="auto" w:fill="FFFFFF"/>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auto"/>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13</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lastRenderedPageBreak/>
              <w:t xml:space="preserve">Задвижка чугунная фланцевая </w:t>
            </w:r>
            <w:proofErr w:type="spellStart"/>
            <w:r w:rsidRPr="009D54F3">
              <w:rPr>
                <w:rFonts w:ascii="Times New Roman" w:eastAsia="Times New Roman" w:hAnsi="Times New Roman" w:cs="Times New Roman"/>
                <w:color w:val="000000"/>
                <w:lang w:eastAsia="ar-SA"/>
              </w:rPr>
              <w:lastRenderedPageBreak/>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и 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250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lastRenderedPageBreak/>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 ВЧШГ (высокопрочный чугун с шаровидным </w:t>
            </w:r>
            <w:r w:rsidRPr="009D54F3">
              <w:rPr>
                <w:rFonts w:ascii="Times New Roman" w:eastAsia="Times New Roman" w:hAnsi="Times New Roman" w:cs="Times New Roman"/>
                <w:lang w:eastAsia="ar-SA"/>
              </w:rPr>
              <w:lastRenderedPageBreak/>
              <w:t>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1</w:t>
            </w:r>
          </w:p>
        </w:tc>
      </w:tr>
      <w:tr w:rsidR="009D54F3" w:rsidRPr="009D54F3" w:rsidTr="00C97E1E">
        <w:trPr>
          <w:gridAfter w:val="1"/>
          <w:wAfter w:w="8" w:type="dxa"/>
          <w:trHeight w:val="276"/>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При полном открытии клина должно быть полное проходное сечение задвижки.</w:t>
            </w: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98"/>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val="en-US"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val="en-US" w:eastAsia="ru-RU"/>
              </w:rPr>
              <w:t>250</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87"/>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86 кг</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92"/>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Не более </w:t>
            </w:r>
            <w:r w:rsidRPr="009D54F3">
              <w:rPr>
                <w:rFonts w:ascii="Times New Roman" w:eastAsia="Times New Roman" w:hAnsi="Times New Roman" w:cs="Times New Roman"/>
                <w:lang w:val="en-US" w:eastAsia="ru-RU"/>
              </w:rPr>
              <w:t>799</w:t>
            </w:r>
            <w:r w:rsidRPr="009D54F3">
              <w:rPr>
                <w:rFonts w:ascii="Times New Roman" w:eastAsia="Times New Roman" w:hAnsi="Times New Roman" w:cs="Times New Roman"/>
                <w:lang w:eastAsia="ru-RU"/>
              </w:rPr>
              <w:t xml:space="preserve">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14</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val="en-US" w:eastAsia="ar-SA"/>
              </w:rPr>
            </w:pPr>
            <w:r w:rsidRPr="009D54F3">
              <w:rPr>
                <w:rFonts w:ascii="Times New Roman" w:eastAsia="Times New Roman" w:hAnsi="Times New Roman" w:cs="Times New Roman"/>
                <w:color w:val="000000"/>
                <w:lang w:eastAsia="ar-SA"/>
              </w:rPr>
              <w:t xml:space="preserve">Штурвал для задвижки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val="en-US" w:eastAsia="ar-SA"/>
              </w:rPr>
              <w:t xml:space="preserve"> 250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(высокопрочный чугун с шаровидным графитом EN-GJS400-15) или сталь с защитным покрытием</w:t>
            </w:r>
          </w:p>
        </w:tc>
        <w:tc>
          <w:tcPr>
            <w:tcW w:w="2219" w:type="dxa"/>
            <w:vMerge w:val="restart"/>
            <w:tcBorders>
              <w:top w:val="single" w:sz="4" w:space="0" w:color="000000"/>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1</w:t>
            </w:r>
          </w:p>
        </w:tc>
      </w:tr>
      <w:tr w:rsidR="009D54F3" w:rsidRPr="009D54F3" w:rsidTr="00C97E1E">
        <w:trPr>
          <w:gridAfter w:val="1"/>
          <w:wAfter w:w="8" w:type="dxa"/>
          <w:trHeight w:val="60"/>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486 мм</w:t>
            </w:r>
          </w:p>
        </w:tc>
        <w:tc>
          <w:tcPr>
            <w:tcW w:w="221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15</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 xml:space="preserve">Задвижка чугунная фланцевая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eastAsia="ar-SA"/>
              </w:rPr>
              <w:t>полнопроходная</w:t>
            </w:r>
            <w:proofErr w:type="spellEnd"/>
            <w:r w:rsidRPr="009D54F3">
              <w:rPr>
                <w:rFonts w:ascii="Times New Roman" w:eastAsia="Times New Roman" w:hAnsi="Times New Roman" w:cs="Times New Roman"/>
                <w:color w:val="000000"/>
                <w:lang w:eastAsia="ar-SA"/>
              </w:rPr>
              <w:t xml:space="preserve"> с </w:t>
            </w:r>
            <w:proofErr w:type="spellStart"/>
            <w:r w:rsidRPr="009D54F3">
              <w:rPr>
                <w:rFonts w:ascii="Times New Roman" w:eastAsia="Times New Roman" w:hAnsi="Times New Roman" w:cs="Times New Roman"/>
                <w:color w:val="000000"/>
                <w:lang w:eastAsia="ar-SA"/>
              </w:rPr>
              <w:t>невыдвижным</w:t>
            </w:r>
            <w:proofErr w:type="spellEnd"/>
            <w:r w:rsidRPr="009D54F3">
              <w:rPr>
                <w:rFonts w:ascii="Times New Roman" w:eastAsia="Times New Roman" w:hAnsi="Times New Roman" w:cs="Times New Roman"/>
                <w:color w:val="000000"/>
                <w:lang w:eastAsia="ar-SA"/>
              </w:rPr>
              <w:t xml:space="preserve"> шпинделем и обрезиненным клином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eastAsia="ar-SA"/>
              </w:rPr>
              <w:t xml:space="preserve"> 300 </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roofErr w:type="spellStart"/>
            <w:r w:rsidRPr="009D54F3">
              <w:rPr>
                <w:rFonts w:ascii="Times New Roman" w:eastAsia="Times New Roman" w:hAnsi="Times New Roman" w:cs="Times New Roman"/>
                <w:color w:val="000000"/>
                <w:lang w:val="en-US" w:eastAsia="ar-SA"/>
              </w:rPr>
              <w:t>pn</w:t>
            </w:r>
            <w:proofErr w:type="spellEnd"/>
            <w:r w:rsidRPr="009D54F3">
              <w:rPr>
                <w:rFonts w:ascii="Times New Roman" w:eastAsia="Times New Roman" w:hAnsi="Times New Roman" w:cs="Times New Roman"/>
                <w:color w:val="000000"/>
                <w:lang w:eastAsia="ar-SA"/>
              </w:rPr>
              <w:t xml:space="preserve"> 10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Материал корпуса и крышки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ВЧШГ (высокопрочный чугун с шаровидным графитом EN-GJS400-15), отсутствие пор, гладкая поверхность</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1</w:t>
            </w: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Материал и тип шпинделя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b/>
                <w:lang w:eastAsia="ru-RU"/>
              </w:rPr>
            </w:pPr>
            <w:r w:rsidRPr="009D54F3">
              <w:rPr>
                <w:rFonts w:ascii="Times New Roman" w:eastAsia="Times New Roman" w:hAnsi="Times New Roman" w:cs="Times New Roman"/>
                <w:lang w:eastAsia="ru-RU"/>
              </w:rPr>
              <w:t xml:space="preserve">Нержавеющая сталь с содержанием хрома не ниже 13%, резьба </w:t>
            </w:r>
            <w:proofErr w:type="spellStart"/>
            <w:r w:rsidRPr="009D54F3">
              <w:rPr>
                <w:rFonts w:ascii="Times New Roman" w:eastAsia="Times New Roman" w:hAnsi="Times New Roman" w:cs="Times New Roman"/>
                <w:lang w:eastAsia="ru-RU"/>
              </w:rPr>
              <w:t>холоднокатанная</w:t>
            </w:r>
            <w:proofErr w:type="spellEnd"/>
            <w:r w:rsidRPr="009D54F3">
              <w:rPr>
                <w:rFonts w:ascii="Times New Roman" w:eastAsia="Times New Roman" w:hAnsi="Times New Roman" w:cs="Times New Roman"/>
                <w:lang w:eastAsia="ru-RU"/>
              </w:rPr>
              <w:t xml:space="preserve">, </w:t>
            </w:r>
            <w:proofErr w:type="spellStart"/>
            <w:r w:rsidRPr="009D54F3">
              <w:rPr>
                <w:rFonts w:ascii="Times New Roman" w:eastAsia="Times New Roman" w:hAnsi="Times New Roman" w:cs="Times New Roman"/>
                <w:lang w:eastAsia="ru-RU"/>
              </w:rPr>
              <w:t>невыдвижной</w:t>
            </w:r>
            <w:proofErr w:type="spellEnd"/>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клина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(EN-GJS400-15) с пластиковыми направляющими, конструкция типа сэндвич с двумя отдельными резиновыми манжетами, которые крепятся пластинами из пищевой нержавейки, с подвижной гайкой </w:t>
            </w:r>
            <w:r w:rsidRPr="009D54F3">
              <w:rPr>
                <w:rFonts w:ascii="Times New Roman" w:eastAsia="Times New Roman" w:hAnsi="Times New Roman" w:cs="Times New Roman"/>
                <w:lang w:eastAsia="ru-RU"/>
              </w:rPr>
              <w:lastRenderedPageBreak/>
              <w:t xml:space="preserve">клина, изготовленной из латуни. </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lastRenderedPageBreak/>
              <w:t>При полном открытии клина должно быть полное проходное сечение задвижки.</w:t>
            </w: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Присоединение к трубопроводу</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Фланцевое по ГОСТ Р 33259-2015</w:t>
            </w: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Строительная длина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val="en-US" w:eastAsia="ru-RU"/>
              </w:rPr>
              <w:t>270</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w:t>
            </w:r>
            <w:r w:rsidRPr="009D54F3">
              <w:rPr>
                <w:rFonts w:ascii="Times New Roman" w:eastAsia="Times New Roman" w:hAnsi="Times New Roman" w:cs="Times New Roman"/>
                <w:lang w:eastAsia="ru-RU"/>
              </w:rPr>
              <w:t>-</w:t>
            </w:r>
            <w:r w:rsidRPr="009D54F3">
              <w:rPr>
                <w:rFonts w:ascii="Times New Roman" w:eastAsia="Times New Roman" w:hAnsi="Times New Roman" w:cs="Times New Roman"/>
                <w:lang w:val="en-US" w:eastAsia="ru-RU"/>
              </w:rPr>
              <w:t>10</w:t>
            </w:r>
            <w:r w:rsidRPr="009D54F3">
              <w:rPr>
                <w:rFonts w:ascii="Times New Roman" w:eastAsia="Times New Roman" w:hAnsi="Times New Roman" w:cs="Times New Roman"/>
                <w:lang w:eastAsia="ru-RU"/>
              </w:rPr>
              <w:t>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187"/>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Масса </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Не более </w:t>
            </w:r>
            <w:r w:rsidRPr="009D54F3">
              <w:rPr>
                <w:rFonts w:ascii="Times New Roman" w:eastAsia="Times New Roman" w:hAnsi="Times New Roman" w:cs="Times New Roman"/>
                <w:lang w:val="en-US" w:eastAsia="ru-RU"/>
              </w:rPr>
              <w:t>1</w:t>
            </w:r>
            <w:r w:rsidRPr="009D54F3">
              <w:rPr>
                <w:rFonts w:ascii="Times New Roman" w:eastAsia="Times New Roman" w:hAnsi="Times New Roman" w:cs="Times New Roman"/>
                <w:lang w:eastAsia="ru-RU"/>
              </w:rPr>
              <w:t>15 кг</w:t>
            </w:r>
          </w:p>
        </w:tc>
        <w:tc>
          <w:tcPr>
            <w:tcW w:w="2219" w:type="dxa"/>
            <w:tcBorders>
              <w:top w:val="single" w:sz="4" w:space="0" w:color="auto"/>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60"/>
          <w:jc w:val="center"/>
        </w:trPr>
        <w:tc>
          <w:tcPr>
            <w:tcW w:w="40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Высота задвижки</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901 мм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Герметичность товара</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Класс А по ГОСТ Р 9544-2015 или </w:t>
            </w:r>
            <w:r w:rsidRPr="009D54F3">
              <w:rPr>
                <w:rFonts w:ascii="Times New Roman" w:eastAsia="Times New Roman" w:hAnsi="Times New Roman" w:cs="Times New Roman"/>
                <w:lang w:val="en-US" w:eastAsia="ar-SA"/>
              </w:rPr>
              <w:t>EN</w:t>
            </w:r>
            <w:r w:rsidRPr="009D54F3">
              <w:rPr>
                <w:rFonts w:ascii="Times New Roman" w:eastAsia="Times New Roman" w:hAnsi="Times New Roman" w:cs="Times New Roman"/>
                <w:lang w:eastAsia="ar-SA"/>
              </w:rPr>
              <w:t xml:space="preserve"> 12266</w:t>
            </w:r>
          </w:p>
        </w:tc>
        <w:tc>
          <w:tcPr>
            <w:tcW w:w="709"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vMerge/>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r w:rsidR="009D54F3" w:rsidRPr="009D54F3" w:rsidTr="00C97E1E">
        <w:trPr>
          <w:gridAfter w:val="1"/>
          <w:wAfter w:w="8" w:type="dxa"/>
          <w:trHeight w:val="469"/>
          <w:jc w:val="center"/>
        </w:trPr>
        <w:tc>
          <w:tcPr>
            <w:tcW w:w="400"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16</w:t>
            </w:r>
          </w:p>
        </w:tc>
        <w:tc>
          <w:tcPr>
            <w:tcW w:w="1965" w:type="dxa"/>
            <w:vMerge w:val="restart"/>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val="en-US" w:eastAsia="ar-SA"/>
              </w:rPr>
            </w:pPr>
            <w:r w:rsidRPr="009D54F3">
              <w:rPr>
                <w:rFonts w:ascii="Times New Roman" w:eastAsia="Times New Roman" w:hAnsi="Times New Roman" w:cs="Times New Roman"/>
                <w:color w:val="000000"/>
                <w:lang w:eastAsia="ar-SA"/>
              </w:rPr>
              <w:t xml:space="preserve">Штурвал для задвижки  </w:t>
            </w:r>
            <w:proofErr w:type="spellStart"/>
            <w:r w:rsidRPr="009D54F3">
              <w:rPr>
                <w:rFonts w:ascii="Times New Roman" w:eastAsia="Times New Roman" w:hAnsi="Times New Roman" w:cs="Times New Roman"/>
                <w:color w:val="000000"/>
                <w:lang w:val="en-US" w:eastAsia="ar-SA"/>
              </w:rPr>
              <w:t>dn</w:t>
            </w:r>
            <w:proofErr w:type="spellEnd"/>
            <w:r w:rsidRPr="009D54F3">
              <w:rPr>
                <w:rFonts w:ascii="Times New Roman" w:eastAsia="Times New Roman" w:hAnsi="Times New Roman" w:cs="Times New Roman"/>
                <w:color w:val="000000"/>
                <w:lang w:val="en-US" w:eastAsia="ar-SA"/>
              </w:rPr>
              <w:t xml:space="preserve"> </w:t>
            </w:r>
            <w:r w:rsidRPr="009D54F3">
              <w:rPr>
                <w:rFonts w:ascii="Times New Roman" w:eastAsia="Times New Roman" w:hAnsi="Times New Roman" w:cs="Times New Roman"/>
                <w:color w:val="000000"/>
                <w:lang w:eastAsia="ar-SA"/>
              </w:rPr>
              <w:t>30</w:t>
            </w:r>
            <w:r w:rsidRPr="009D54F3">
              <w:rPr>
                <w:rFonts w:ascii="Times New Roman" w:eastAsia="Times New Roman" w:hAnsi="Times New Roman" w:cs="Times New Roman"/>
                <w:color w:val="000000"/>
                <w:lang w:val="en-US" w:eastAsia="ar-SA"/>
              </w:rPr>
              <w:t>0</w:t>
            </w: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Материал изготовления</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 ВЧШГ (высокопрочный чугун с шаровидным графитом EN-GJS400-15) или сталь с защитным покрытием</w:t>
            </w:r>
          </w:p>
        </w:tc>
        <w:tc>
          <w:tcPr>
            <w:tcW w:w="2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штук</w:t>
            </w:r>
          </w:p>
        </w:tc>
        <w:tc>
          <w:tcPr>
            <w:tcW w:w="590" w:type="dxa"/>
            <w:tcBorders>
              <w:top w:val="single" w:sz="4" w:space="0" w:color="auto"/>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r w:rsidRPr="009D54F3">
              <w:rPr>
                <w:rFonts w:ascii="Times New Roman" w:eastAsia="Times New Roman" w:hAnsi="Times New Roman" w:cs="Times New Roman"/>
                <w:color w:val="000000"/>
                <w:lang w:eastAsia="ar-SA"/>
              </w:rPr>
              <w:t>1</w:t>
            </w:r>
          </w:p>
        </w:tc>
      </w:tr>
      <w:tr w:rsidR="009D54F3" w:rsidRPr="009D54F3" w:rsidTr="00C97E1E">
        <w:trPr>
          <w:gridAfter w:val="1"/>
          <w:wAfter w:w="8" w:type="dxa"/>
          <w:trHeight w:val="76"/>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1965" w:type="dxa"/>
            <w:vMerge/>
            <w:tcBorders>
              <w:left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c>
          <w:tcPr>
            <w:tcW w:w="2312"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Внешний диаметр</w:t>
            </w:r>
          </w:p>
        </w:tc>
        <w:tc>
          <w:tcPr>
            <w:tcW w:w="2491" w:type="dxa"/>
            <w:tcBorders>
              <w:top w:val="single" w:sz="4" w:space="0" w:color="000000"/>
              <w:left w:val="single" w:sz="4" w:space="0" w:color="000000"/>
              <w:bottom w:val="single" w:sz="4" w:space="0" w:color="000000"/>
              <w:right w:val="single" w:sz="4" w:space="0" w:color="000000"/>
            </w:tcBorders>
            <w:shd w:val="clear" w:color="auto" w:fill="FFFFFF"/>
          </w:tcPr>
          <w:p w:rsidR="009D54F3" w:rsidRPr="009D54F3" w:rsidRDefault="009D54F3" w:rsidP="009D54F3">
            <w:pPr>
              <w:spacing w:after="0" w:line="240" w:lineRule="auto"/>
              <w:ind w:right="79"/>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Не более 486 мм</w:t>
            </w:r>
          </w:p>
        </w:tc>
        <w:tc>
          <w:tcPr>
            <w:tcW w:w="2219" w:type="dxa"/>
            <w:tcBorders>
              <w:top w:val="nil"/>
              <w:left w:val="single" w:sz="4" w:space="0" w:color="000000"/>
              <w:bottom w:val="single" w:sz="4" w:space="0" w:color="000000"/>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709" w:type="dxa"/>
            <w:tcBorders>
              <w:top w:val="nil"/>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p>
        </w:tc>
        <w:tc>
          <w:tcPr>
            <w:tcW w:w="590" w:type="dxa"/>
            <w:tcBorders>
              <w:top w:val="nil"/>
              <w:left w:val="single" w:sz="4" w:space="0" w:color="000000"/>
              <w:bottom w:val="single" w:sz="4" w:space="0" w:color="auto"/>
              <w:right w:val="single" w:sz="4" w:space="0" w:color="000000"/>
            </w:tcBorders>
            <w:shd w:val="clear" w:color="auto" w:fill="FFFFFF"/>
            <w:vAlign w:val="center"/>
          </w:tcPr>
          <w:p w:rsidR="009D54F3" w:rsidRPr="009D54F3" w:rsidRDefault="009D54F3" w:rsidP="009D54F3">
            <w:pPr>
              <w:suppressAutoHyphens/>
              <w:spacing w:after="0" w:line="240" w:lineRule="auto"/>
              <w:contextualSpacing/>
              <w:jc w:val="both"/>
              <w:rPr>
                <w:rFonts w:ascii="Times New Roman" w:eastAsia="Times New Roman" w:hAnsi="Times New Roman" w:cs="Times New Roman"/>
                <w:color w:val="000000"/>
                <w:lang w:eastAsia="ar-SA"/>
              </w:rPr>
            </w:pPr>
          </w:p>
        </w:tc>
      </w:tr>
    </w:tbl>
    <w:p w:rsidR="009D54F3" w:rsidRPr="009D54F3" w:rsidRDefault="009D54F3" w:rsidP="009D54F3">
      <w:pPr>
        <w:tabs>
          <w:tab w:val="left" w:pos="284"/>
        </w:tabs>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b/>
          <w:lang w:eastAsia="ar-SA"/>
        </w:rPr>
        <w:t>6. Требования к качеству и безопасности поставляемого Товара</w:t>
      </w:r>
      <w:r w:rsidRPr="009D54F3">
        <w:rPr>
          <w:rFonts w:ascii="Times New Roman" w:eastAsia="Times New Roman" w:hAnsi="Times New Roman" w:cs="Times New Roman"/>
          <w:lang w:eastAsia="ar-SA"/>
        </w:rPr>
        <w:t>:</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9D54F3" w:rsidRPr="009D54F3" w:rsidRDefault="009D54F3" w:rsidP="009D54F3">
      <w:pPr>
        <w:spacing w:after="0" w:line="240" w:lineRule="auto"/>
        <w:contextualSpacing/>
        <w:jc w:val="both"/>
        <w:rPr>
          <w:rFonts w:ascii="Times New Roman" w:eastAsia="Calibri" w:hAnsi="Times New Roman" w:cs="Times New Roman"/>
        </w:rPr>
      </w:pPr>
      <w:r w:rsidRPr="009D54F3">
        <w:rPr>
          <w:rFonts w:ascii="Times New Roman" w:eastAsia="Calibri" w:hAnsi="Times New Roman" w:cs="Times New Roman"/>
        </w:rPr>
        <w:t>6.2. Товар должен соответствовать требованиям безопасности, в том числе экологическим, установленным действующим законодательством.</w:t>
      </w:r>
    </w:p>
    <w:p w:rsidR="009D54F3" w:rsidRPr="009D54F3" w:rsidRDefault="009D54F3" w:rsidP="009D54F3">
      <w:pPr>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6.3. Товар не должен быть заложен, арестован, являться предметом исков третьих лиц.</w:t>
      </w:r>
    </w:p>
    <w:p w:rsidR="009D54F3" w:rsidRPr="009D54F3" w:rsidRDefault="009D54F3" w:rsidP="009D54F3">
      <w:pPr>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9D54F3" w:rsidRPr="009D54F3" w:rsidRDefault="009D54F3" w:rsidP="009D54F3">
      <w:pPr>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lang w:eastAsia="ar-SA"/>
        </w:rPr>
        <w:t xml:space="preserve">6.5. Маркировка изделия должна соответствовать требованиям ГОСТ 4666-2015 и содержать следующую информацию: наименование изделия, товарный знак или наименование производителя, рабочее давление, номинальный диаметр, материал корпуса, год выпуска, знак обращения на рынке продукции. Маркировка должна быть нанесена заводским способом: литьем или заводским </w:t>
      </w:r>
      <w:proofErr w:type="spellStart"/>
      <w:r w:rsidRPr="009D54F3">
        <w:rPr>
          <w:rFonts w:ascii="Times New Roman" w:eastAsia="Times New Roman" w:hAnsi="Times New Roman" w:cs="Times New Roman"/>
          <w:lang w:eastAsia="ar-SA"/>
        </w:rPr>
        <w:t>шильдом</w:t>
      </w:r>
      <w:proofErr w:type="spellEnd"/>
      <w:r w:rsidRPr="009D54F3">
        <w:rPr>
          <w:rFonts w:ascii="Times New Roman" w:eastAsia="Times New Roman" w:hAnsi="Times New Roman" w:cs="Times New Roman"/>
          <w:lang w:eastAsia="ar-SA"/>
        </w:rPr>
        <w:t>/наклейкой с индивидуальным номером изделия, обеспечивающим четкое и ясное изображение в течение срока службы.</w:t>
      </w:r>
    </w:p>
    <w:p w:rsidR="009D54F3" w:rsidRPr="009D54F3" w:rsidRDefault="009D54F3" w:rsidP="009D54F3">
      <w:pPr>
        <w:tabs>
          <w:tab w:val="left" w:pos="567"/>
        </w:tabs>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b/>
          <w:lang w:eastAsia="ar-SA"/>
        </w:rPr>
        <w:t xml:space="preserve">7. Требования к документации: </w:t>
      </w:r>
      <w:r w:rsidRPr="009D54F3">
        <w:rPr>
          <w:rFonts w:ascii="Times New Roman" w:eastAsia="Times New Roman" w:hAnsi="Times New Roman" w:cs="Times New Roman"/>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Все документы должны быть предоставлены в подлинниках, либо в надлежащим образом заверенных копиях.</w:t>
      </w:r>
    </w:p>
    <w:p w:rsidR="009D54F3" w:rsidRPr="009D54F3" w:rsidRDefault="009D54F3" w:rsidP="009D54F3">
      <w:pPr>
        <w:tabs>
          <w:tab w:val="left" w:pos="284"/>
          <w:tab w:val="left" w:pos="567"/>
        </w:tabs>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b/>
          <w:lang w:eastAsia="ar-SA"/>
        </w:rPr>
        <w:t>8. Срок (период) поставки товара:</w:t>
      </w:r>
      <w:r w:rsidRPr="009D54F3">
        <w:rPr>
          <w:rFonts w:ascii="Times New Roman" w:eastAsia="Times New Roman" w:hAnsi="Times New Roman" w:cs="Times New Roman"/>
          <w:lang w:eastAsia="ar-SA"/>
        </w:rPr>
        <w:t xml:space="preserve"> Срок поставки товара-с момента заключения договора и до 15 декабря 2021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9D54F3" w:rsidRPr="009D54F3" w:rsidRDefault="009D54F3" w:rsidP="009D54F3">
      <w:pPr>
        <w:spacing w:after="0" w:line="240" w:lineRule="auto"/>
        <w:contextualSpacing/>
        <w:jc w:val="both"/>
        <w:rPr>
          <w:rFonts w:ascii="Times New Roman" w:eastAsia="Calibri" w:hAnsi="Times New Roman" w:cs="Times New Roman"/>
          <w:b/>
        </w:rPr>
      </w:pPr>
      <w:r w:rsidRPr="009D54F3">
        <w:rPr>
          <w:rFonts w:ascii="Times New Roman" w:eastAsia="Calibri" w:hAnsi="Times New Roman" w:cs="Times New Roman"/>
          <w:b/>
        </w:rPr>
        <w:t xml:space="preserve">9. Место поставки товара: </w:t>
      </w:r>
      <w:r w:rsidRPr="009D54F3">
        <w:rPr>
          <w:rFonts w:ascii="Times New Roman" w:eastAsia="Calibri" w:hAnsi="Times New Roman" w:cs="Times New Roman"/>
        </w:rPr>
        <w:t>Свердловская область, г. Березовский, ул. Ленина, 52.</w:t>
      </w:r>
    </w:p>
    <w:p w:rsidR="009D54F3" w:rsidRPr="009D54F3" w:rsidRDefault="009D54F3" w:rsidP="009D54F3">
      <w:pPr>
        <w:spacing w:after="0" w:line="240" w:lineRule="auto"/>
        <w:contextualSpacing/>
        <w:jc w:val="both"/>
        <w:rPr>
          <w:rFonts w:ascii="Times New Roman" w:eastAsia="Calibri" w:hAnsi="Times New Roman" w:cs="Times New Roman"/>
        </w:rPr>
      </w:pPr>
      <w:r w:rsidRPr="009D54F3">
        <w:rPr>
          <w:rFonts w:ascii="Times New Roman" w:eastAsia="Calibri" w:hAnsi="Times New Roman" w:cs="Times New Roman"/>
          <w:b/>
        </w:rPr>
        <w:t xml:space="preserve">10. Условия и порядок поставки товара: </w:t>
      </w:r>
      <w:r w:rsidRPr="009D54F3">
        <w:rPr>
          <w:rFonts w:ascii="Times New Roman" w:eastAsia="Calibri" w:hAnsi="Times New Roman" w:cs="Times New Roman"/>
        </w:rPr>
        <w:t xml:space="preserve">Письменное уведомление о дате и времени поставки товара должно быть направлено на электронную почту </w:t>
      </w:r>
      <w:hyperlink r:id="rId4" w:history="1">
        <w:r w:rsidRPr="009D54F3">
          <w:rPr>
            <w:rFonts w:ascii="Times New Roman" w:eastAsia="Calibri" w:hAnsi="Times New Roman" w:cs="Times New Roman"/>
            <w:color w:val="0000FF"/>
            <w:u w:val="single"/>
            <w:lang w:val="en-US"/>
          </w:rPr>
          <w:t>progressnew</w:t>
        </w:r>
        <w:r w:rsidRPr="009D54F3">
          <w:rPr>
            <w:rFonts w:ascii="Times New Roman" w:eastAsia="Calibri" w:hAnsi="Times New Roman" w:cs="Times New Roman"/>
            <w:color w:val="0000FF"/>
            <w:u w:val="single"/>
          </w:rPr>
          <w:t>@</w:t>
        </w:r>
        <w:r w:rsidRPr="009D54F3">
          <w:rPr>
            <w:rFonts w:ascii="Times New Roman" w:eastAsia="Calibri" w:hAnsi="Times New Roman" w:cs="Times New Roman"/>
            <w:color w:val="0000FF"/>
            <w:u w:val="single"/>
            <w:lang w:val="en-US"/>
          </w:rPr>
          <w:t>mail</w:t>
        </w:r>
        <w:r w:rsidRPr="009D54F3">
          <w:rPr>
            <w:rFonts w:ascii="Times New Roman" w:eastAsia="Calibri" w:hAnsi="Times New Roman" w:cs="Times New Roman"/>
            <w:color w:val="0000FF"/>
            <w:u w:val="single"/>
          </w:rPr>
          <w:t>.</w:t>
        </w:r>
        <w:r w:rsidRPr="009D54F3">
          <w:rPr>
            <w:rFonts w:ascii="Times New Roman" w:eastAsia="Calibri" w:hAnsi="Times New Roman" w:cs="Times New Roman"/>
            <w:color w:val="0000FF"/>
            <w:u w:val="single"/>
            <w:lang w:val="en-US"/>
          </w:rPr>
          <w:t>ru</w:t>
        </w:r>
      </w:hyperlink>
      <w:r w:rsidRPr="009D54F3">
        <w:rPr>
          <w:rFonts w:ascii="Times New Roman" w:eastAsia="Calibri" w:hAnsi="Times New Roman" w:cs="Times New Roman"/>
        </w:rPr>
        <w:t xml:space="preserve">, </w:t>
      </w:r>
      <w:hyperlink r:id="rId5" w:history="1">
        <w:r w:rsidRPr="009D54F3">
          <w:rPr>
            <w:rFonts w:ascii="Times New Roman" w:eastAsia="Calibri" w:hAnsi="Times New Roman" w:cs="Times New Roman"/>
            <w:color w:val="0000FF"/>
            <w:u w:val="single"/>
            <w:lang w:val="en-US"/>
          </w:rPr>
          <w:t>bervodokanal</w:t>
        </w:r>
        <w:r w:rsidRPr="009D54F3">
          <w:rPr>
            <w:rFonts w:ascii="Times New Roman" w:eastAsia="Calibri" w:hAnsi="Times New Roman" w:cs="Times New Roman"/>
            <w:color w:val="0000FF"/>
            <w:u w:val="single"/>
          </w:rPr>
          <w:t>@</w:t>
        </w:r>
        <w:r w:rsidRPr="009D54F3">
          <w:rPr>
            <w:rFonts w:ascii="Times New Roman" w:eastAsia="Calibri" w:hAnsi="Times New Roman" w:cs="Times New Roman"/>
            <w:color w:val="0000FF"/>
            <w:u w:val="single"/>
            <w:lang w:val="en-US"/>
          </w:rPr>
          <w:t>bk</w:t>
        </w:r>
        <w:r w:rsidRPr="009D54F3">
          <w:rPr>
            <w:rFonts w:ascii="Times New Roman" w:eastAsia="Calibri" w:hAnsi="Times New Roman" w:cs="Times New Roman"/>
            <w:color w:val="0000FF"/>
            <w:u w:val="single"/>
          </w:rPr>
          <w:t>.</w:t>
        </w:r>
        <w:proofErr w:type="spellStart"/>
        <w:r w:rsidRPr="009D54F3">
          <w:rPr>
            <w:rFonts w:ascii="Times New Roman" w:eastAsia="Calibri" w:hAnsi="Times New Roman" w:cs="Times New Roman"/>
            <w:color w:val="0000FF"/>
            <w:u w:val="single"/>
            <w:lang w:val="en-US"/>
          </w:rPr>
          <w:t>ru</w:t>
        </w:r>
        <w:proofErr w:type="spellEnd"/>
      </w:hyperlink>
      <w:r w:rsidRPr="009D54F3">
        <w:rPr>
          <w:rFonts w:ascii="Times New Roman" w:eastAsia="Calibri" w:hAnsi="Times New Roman" w:cs="Times New Roman"/>
          <w:color w:val="0000FF"/>
          <w:u w:val="single"/>
        </w:rPr>
        <w:t xml:space="preserve"> </w:t>
      </w:r>
      <w:r w:rsidRPr="009D54F3">
        <w:rPr>
          <w:rFonts w:ascii="Times New Roman" w:eastAsia="Calibri" w:hAnsi="Times New Roman" w:cs="Times New Roman"/>
        </w:rPr>
        <w:t>не позднее чем за 24 (двадцать четыре) часа до даты поставки.</w:t>
      </w:r>
    </w:p>
    <w:p w:rsidR="009D54F3" w:rsidRPr="009D54F3" w:rsidRDefault="009D54F3" w:rsidP="009D54F3">
      <w:pPr>
        <w:spacing w:after="0" w:line="240" w:lineRule="auto"/>
        <w:contextualSpacing/>
        <w:jc w:val="both"/>
        <w:rPr>
          <w:rFonts w:ascii="Times New Roman" w:eastAsia="Calibri" w:hAnsi="Times New Roman" w:cs="Times New Roman"/>
          <w:b/>
        </w:rPr>
      </w:pPr>
      <w:r w:rsidRPr="009D54F3">
        <w:rPr>
          <w:rFonts w:ascii="Times New Roman" w:eastAsia="Calibri" w:hAnsi="Times New Roman" w:cs="Times New Roman"/>
          <w:b/>
        </w:rPr>
        <w:t xml:space="preserve">11. Гарантийные обязательства: </w:t>
      </w:r>
      <w:r w:rsidRPr="009D54F3">
        <w:rPr>
          <w:rFonts w:ascii="Times New Roman" w:eastAsia="Calibri" w:hAnsi="Times New Roman" w:cs="Times New Roman"/>
        </w:rPr>
        <w:t>Гарантийный срок на товар должен составлять не менее 120 (ста двадцати) месяцев. Условия гарантии должны обеспечивать замену изделия даже в случае поломки отдельной детали задвижки по вине завода-изготовителя, срок службы 50 лет.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9D54F3" w:rsidRPr="009D54F3" w:rsidRDefault="009D54F3" w:rsidP="009D54F3">
      <w:pPr>
        <w:suppressAutoHyphens/>
        <w:spacing w:after="0" w:line="240" w:lineRule="auto"/>
        <w:contextualSpacing/>
        <w:jc w:val="both"/>
        <w:rPr>
          <w:rFonts w:ascii="Times New Roman" w:eastAsia="Times New Roman" w:hAnsi="Times New Roman" w:cs="Times New Roman"/>
          <w:lang w:eastAsia="ar-SA"/>
        </w:rPr>
      </w:pPr>
      <w:r w:rsidRPr="009D54F3">
        <w:rPr>
          <w:rFonts w:ascii="Times New Roman" w:eastAsia="Times New Roman" w:hAnsi="Times New Roman" w:cs="Times New Roman"/>
          <w:b/>
          <w:lang w:eastAsia="ar-SA"/>
        </w:rPr>
        <w:t xml:space="preserve">12. Требования к упаковке, транспортировке товара: </w:t>
      </w:r>
      <w:r w:rsidRPr="009D54F3">
        <w:rPr>
          <w:rFonts w:ascii="Times New Roman" w:eastAsia="Times New Roman" w:hAnsi="Times New Roman" w:cs="Times New Roman"/>
          <w:lang w:eastAsia="ar-SA"/>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9D54F3" w:rsidRPr="009D54F3" w:rsidRDefault="009D54F3" w:rsidP="009D54F3">
      <w:pPr>
        <w:widowControl w:val="0"/>
        <w:spacing w:after="0" w:line="240" w:lineRule="auto"/>
        <w:contextualSpacing/>
        <w:jc w:val="both"/>
        <w:rPr>
          <w:rFonts w:ascii="Times New Roman" w:eastAsia="Times New Roman" w:hAnsi="Times New Roman" w:cs="Times New Roman"/>
          <w:spacing w:val="3"/>
        </w:rPr>
      </w:pPr>
      <w:r w:rsidRPr="009D54F3">
        <w:rPr>
          <w:rFonts w:ascii="Times New Roman" w:eastAsia="Times New Roman" w:hAnsi="Times New Roman" w:cs="Times New Roman"/>
          <w:b/>
          <w:bCs/>
          <w:color w:val="000001"/>
          <w:spacing w:val="3"/>
        </w:rPr>
        <w:t xml:space="preserve">13. Порядок сдачи-приемки товара: </w:t>
      </w:r>
      <w:r w:rsidRPr="009D54F3">
        <w:rPr>
          <w:rFonts w:ascii="Times New Roman" w:eastAsia="Times New Roman" w:hAnsi="Times New Roman" w:cs="Times New Roman"/>
          <w:spacing w:val="3"/>
        </w:rPr>
        <w:t xml:space="preserve">По каждой заявке 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w:t>
      </w:r>
      <w:r w:rsidRPr="009D54F3">
        <w:rPr>
          <w:rFonts w:ascii="Times New Roman" w:eastAsia="Times New Roman" w:hAnsi="Times New Roman" w:cs="Times New Roman"/>
          <w:spacing w:val="3"/>
        </w:rPr>
        <w:lastRenderedPageBreak/>
        <w:t xml:space="preserve">ТОРГ-12) либо универсальный передаточный документ (УПД), товарно-транспортная накладная (форма № 1-Т) на товар, акт приема-передачи товара, паспорт, инструкция по наладке, эксплуатации и техническому обслуживанию, сертификаты или декларации соответствия. Риски, связанные с порчей или случайной гибелью товара, переходят в момент передачи полного комплекта товара, в том числе – комплекта документов. При отсутствии любого из вышеперечисленных документов, товар считается не комплектным и не подлежит приемке и оплате до момента предоставления полного комплекта документации.  </w:t>
      </w:r>
    </w:p>
    <w:p w:rsidR="009D54F3" w:rsidRPr="009D54F3" w:rsidRDefault="009D54F3" w:rsidP="009D54F3">
      <w:pPr>
        <w:keepNext/>
        <w:spacing w:after="0" w:line="240" w:lineRule="auto"/>
        <w:contextualSpacing/>
        <w:jc w:val="both"/>
        <w:rPr>
          <w:rFonts w:ascii="Times New Roman" w:eastAsia="Times New Roman" w:hAnsi="Times New Roman" w:cs="Times New Roman"/>
          <w:lang w:eastAsia="ru-RU"/>
        </w:rPr>
      </w:pPr>
    </w:p>
    <w:p w:rsidR="009D54F3" w:rsidRPr="009D54F3" w:rsidRDefault="009D54F3" w:rsidP="009D54F3">
      <w:pPr>
        <w:spacing w:after="0" w:line="240" w:lineRule="auto"/>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Покупатель                                                                                  Поставщик </w:t>
      </w:r>
    </w:p>
    <w:p w:rsidR="009D54F3" w:rsidRPr="009D54F3" w:rsidRDefault="009D54F3" w:rsidP="009D54F3">
      <w:pPr>
        <w:spacing w:after="0" w:line="240" w:lineRule="auto"/>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МУП БВКХ «Водоканал» </w:t>
      </w:r>
      <w:r w:rsidRPr="009D54F3">
        <w:rPr>
          <w:rFonts w:ascii="Times New Roman" w:eastAsia="Times New Roman" w:hAnsi="Times New Roman" w:cs="Times New Roman"/>
          <w:lang w:eastAsia="ru-RU"/>
        </w:rPr>
        <w:tab/>
      </w:r>
      <w:r w:rsidRPr="009D54F3">
        <w:rPr>
          <w:rFonts w:ascii="Times New Roman" w:eastAsia="Times New Roman" w:hAnsi="Times New Roman" w:cs="Times New Roman"/>
          <w:lang w:eastAsia="ru-RU"/>
        </w:rPr>
        <w:tab/>
      </w:r>
      <w:r w:rsidRPr="009D54F3">
        <w:rPr>
          <w:rFonts w:ascii="Times New Roman" w:eastAsia="Times New Roman" w:hAnsi="Times New Roman" w:cs="Times New Roman"/>
          <w:lang w:eastAsia="ru-RU"/>
        </w:rPr>
        <w:tab/>
      </w:r>
      <w:r w:rsidRPr="009D54F3">
        <w:rPr>
          <w:rFonts w:ascii="Times New Roman" w:eastAsia="Times New Roman" w:hAnsi="Times New Roman" w:cs="Times New Roman"/>
          <w:lang w:eastAsia="ru-RU"/>
        </w:rPr>
        <w:tab/>
      </w:r>
      <w:r w:rsidRPr="009D54F3">
        <w:rPr>
          <w:rFonts w:ascii="Times New Roman" w:eastAsia="Times New Roman" w:hAnsi="Times New Roman" w:cs="Times New Roman"/>
          <w:lang w:eastAsia="ru-RU"/>
        </w:rPr>
        <w:tab/>
      </w:r>
    </w:p>
    <w:p w:rsidR="009D54F3" w:rsidRPr="009D54F3" w:rsidRDefault="009D54F3" w:rsidP="009D54F3">
      <w:pPr>
        <w:spacing w:after="0" w:line="240" w:lineRule="auto"/>
        <w:contextualSpacing/>
        <w:jc w:val="both"/>
        <w:rPr>
          <w:rFonts w:ascii="Times New Roman" w:eastAsia="Times New Roman" w:hAnsi="Times New Roman" w:cs="Times New Roman"/>
          <w:lang w:eastAsia="ru-RU"/>
        </w:rPr>
      </w:pPr>
    </w:p>
    <w:p w:rsidR="009D54F3" w:rsidRPr="009D54F3" w:rsidRDefault="009D54F3" w:rsidP="009D54F3">
      <w:pPr>
        <w:spacing w:after="0" w:line="240" w:lineRule="auto"/>
        <w:contextualSpacing/>
        <w:jc w:val="both"/>
        <w:rPr>
          <w:rFonts w:ascii="Times New Roman" w:eastAsia="Times New Roman" w:hAnsi="Times New Roman" w:cs="Times New Roman"/>
          <w:lang w:eastAsia="ru-RU"/>
        </w:rPr>
      </w:pPr>
      <w:r w:rsidRPr="009D54F3">
        <w:rPr>
          <w:rFonts w:ascii="Times New Roman" w:eastAsia="Times New Roman" w:hAnsi="Times New Roman" w:cs="Times New Roman"/>
          <w:lang w:eastAsia="ru-RU"/>
        </w:rPr>
        <w:t xml:space="preserve">____________ (Алешина А.А.)                                                  __________ (______________) </w:t>
      </w:r>
    </w:p>
    <w:p w:rsidR="00C33814" w:rsidRDefault="00C33814">
      <w:bookmarkStart w:id="0" w:name="_GoBack"/>
      <w:bookmarkEnd w:id="0"/>
    </w:p>
    <w:sectPr w:rsidR="00C3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F3"/>
    <w:rsid w:val="009D54F3"/>
    <w:rsid w:val="00C3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E56C0-EA36-4C3C-8976-2A67FF43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vodokanal@bk.ru" TargetMode="External"/><Relationship Id="rId4" Type="http://schemas.openxmlformats.org/officeDocument/2006/relationships/hyperlink" Target="mailto:progressnew@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2371</Words>
  <Characters>13516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Фоминых Ирина Геннадьевна</dc:creator>
  <cp:keywords/>
  <dc:description/>
  <cp:lastModifiedBy>Фоминых Ирина Геннадьевна</cp:lastModifiedBy>
  <cp:revision>1</cp:revision>
  <dcterms:created xsi:type="dcterms:W3CDTF">2021-07-20T03:56:00Z</dcterms:created>
  <dcterms:modified xsi:type="dcterms:W3CDTF">2021-07-20T03:58:00Z</dcterms:modified>
</cp:coreProperties>
</file>